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87AC8" w14:textId="237B0DA5" w:rsidR="003B7339" w:rsidRDefault="00D36216">
      <w:pPr>
        <w:spacing w:before="157" w:after="157" w:line="270" w:lineRule="auto"/>
        <w:rPr>
          <w:rFonts w:eastAsia="Georgia" w:hAnsi="Georgia" w:cs="Georgia"/>
          <w:b/>
          <w:color w:val="000000"/>
          <w:sz w:val="16"/>
          <w:szCs w:val="16"/>
          <w:lang w:eastAsia="zh-TW"/>
        </w:rPr>
      </w:pPr>
      <w:bookmarkStart w:id="0" w:name="ipo_client_onboarding_checklist_a_bcdf7a"/>
      <w:r w:rsidRPr="00C955AB">
        <w:rPr>
          <w:rFonts w:eastAsia="Georgia" w:hAnsi="Georgia" w:cs="Georgia"/>
          <w:b/>
          <w:color w:val="000000"/>
          <w:sz w:val="16"/>
          <w:szCs w:val="16"/>
          <w:lang w:eastAsia="zh-TW"/>
        </w:rPr>
        <w:t>IPO 客戶檢查清單與資訊請求清單</w:t>
      </w:r>
      <w:bookmarkEnd w:id="0"/>
    </w:p>
    <w:p w14:paraId="265FC450" w14:textId="149D7402" w:rsidR="003B7339" w:rsidRPr="009B44F1" w:rsidRDefault="009B44F1" w:rsidP="00C955AB">
      <w:pPr>
        <w:spacing w:before="315" w:after="105" w:line="360" w:lineRule="auto"/>
        <w:rPr>
          <w:b/>
          <w:bCs/>
          <w:sz w:val="16"/>
          <w:szCs w:val="16"/>
        </w:rPr>
      </w:pPr>
      <w:bookmarkStart w:id="1" w:name="engagement_setup"/>
      <w:r w:rsidRPr="009B44F1">
        <w:rPr>
          <w:rFonts w:eastAsia="Georgia" w:hAnsi="Georgia" w:cs="Georgia"/>
          <w:b/>
          <w:bCs/>
          <w:color w:val="000000"/>
          <w:sz w:val="16"/>
          <w:szCs w:val="16"/>
          <w:lang w:eastAsia="zh-TW"/>
        </w:rPr>
        <w:t>客戶</w:t>
      </w:r>
      <w:bookmarkEnd w:id="1"/>
      <w:proofErr w:type="spellStart"/>
      <w:r w:rsidR="00BA6F3A" w:rsidRPr="00BA6F3A">
        <w:rPr>
          <w:rFonts w:ascii="微軟正黑體" w:eastAsia="微軟正黑體" w:hAnsi="微軟正黑體" w:cs="微軟正黑體" w:hint="eastAsia"/>
          <w:b/>
          <w:bCs/>
          <w:color w:val="000000"/>
          <w:sz w:val="16"/>
          <w:szCs w:val="16"/>
        </w:rPr>
        <w:t>資訊</w:t>
      </w:r>
      <w:proofErr w:type="spellEnd"/>
    </w:p>
    <w:p w14:paraId="3206A6CD" w14:textId="77777777" w:rsidR="003B7339" w:rsidRPr="00C955AB" w:rsidRDefault="00D36216">
      <w:pPr>
        <w:numPr>
          <w:ilvl w:val="0"/>
          <w:numId w:val="1"/>
        </w:numPr>
        <w:spacing w:before="105" w:after="105" w:line="360" w:lineRule="auto"/>
        <w:rPr>
          <w:sz w:val="16"/>
          <w:szCs w:val="16"/>
          <w:lang w:eastAsia="zh-TW"/>
        </w:rPr>
      </w:pPr>
      <w:r w:rsidRPr="00C955AB">
        <w:rPr>
          <w:rFonts w:eastAsia="Georgia" w:hAnsi="Georgia" w:cs="Georgia"/>
          <w:color w:val="000000"/>
          <w:sz w:val="16"/>
          <w:szCs w:val="16"/>
          <w:lang w:eastAsia="zh-TW"/>
        </w:rPr>
        <w:t>客戶法定姓名、註冊號碼、設立地點、註冊辦公室及主要營業地址。</w:t>
      </w:r>
    </w:p>
    <w:p w14:paraId="4439D12D" w14:textId="77777777" w:rsidR="003B7339" w:rsidRPr="00C955AB" w:rsidRDefault="00D36216">
      <w:pPr>
        <w:numPr>
          <w:ilvl w:val="0"/>
          <w:numId w:val="1"/>
        </w:numPr>
        <w:spacing w:before="105" w:after="105" w:line="360" w:lineRule="auto"/>
        <w:rPr>
          <w:sz w:val="16"/>
          <w:szCs w:val="16"/>
          <w:lang w:eastAsia="zh-TW"/>
        </w:rPr>
      </w:pPr>
      <w:r w:rsidRPr="00C955AB">
        <w:rPr>
          <w:rFonts w:eastAsia="Georgia" w:hAnsi="Georgia" w:cs="Georgia"/>
          <w:color w:val="000000"/>
          <w:sz w:val="16"/>
          <w:szCs w:val="16"/>
          <w:lang w:eastAsia="zh-TW"/>
        </w:rPr>
        <w:t>主要聯絡人名單，包括創辦人、財務長、財務主管、法律主管、公司秘書及外部顧問。</w:t>
      </w:r>
    </w:p>
    <w:p w14:paraId="791A88DB" w14:textId="77777777" w:rsidR="003B7339" w:rsidRPr="00C955AB" w:rsidRDefault="00D36216">
      <w:pPr>
        <w:numPr>
          <w:ilvl w:val="0"/>
          <w:numId w:val="1"/>
        </w:numPr>
        <w:spacing w:before="105" w:after="105" w:line="360" w:lineRule="auto"/>
        <w:rPr>
          <w:sz w:val="16"/>
          <w:szCs w:val="16"/>
          <w:lang w:eastAsia="zh-TW"/>
        </w:rPr>
      </w:pPr>
      <w:r w:rsidRPr="00C955AB">
        <w:rPr>
          <w:rFonts w:eastAsia="Georgia" w:hAnsi="Georgia" w:cs="Georgia"/>
          <w:color w:val="000000"/>
          <w:sz w:val="16"/>
          <w:szCs w:val="16"/>
          <w:lang w:eastAsia="zh-TW"/>
        </w:rPr>
        <w:t>目標上市地點、預期時間表及追求首次公開募股的原因。</w:t>
      </w:r>
    </w:p>
    <w:p w14:paraId="0A012DC7" w14:textId="77777777" w:rsidR="003B7339" w:rsidRPr="00C955AB" w:rsidRDefault="00D36216">
      <w:pPr>
        <w:numPr>
          <w:ilvl w:val="0"/>
          <w:numId w:val="1"/>
        </w:numPr>
        <w:spacing w:before="105" w:after="105" w:line="360" w:lineRule="auto"/>
        <w:rPr>
          <w:sz w:val="16"/>
          <w:szCs w:val="16"/>
          <w:lang w:eastAsia="zh-TW"/>
        </w:rPr>
      </w:pPr>
      <w:r w:rsidRPr="00C955AB">
        <w:rPr>
          <w:rFonts w:eastAsia="Georgia" w:hAnsi="Georgia" w:cs="Georgia"/>
          <w:color w:val="000000"/>
          <w:sz w:val="16"/>
          <w:szCs w:val="16"/>
          <w:lang w:eastAsia="zh-TW"/>
        </w:rPr>
        <w:t>擬議募資規模、資金使用情況摘要，以及要議是否包含主要股份、次要股份或兩者皆有。</w:t>
      </w:r>
    </w:p>
    <w:p w14:paraId="6A45D447" w14:textId="6EFCE2AF" w:rsidR="003B7339" w:rsidRPr="00C955AB" w:rsidRDefault="00D36216">
      <w:pPr>
        <w:numPr>
          <w:ilvl w:val="0"/>
          <w:numId w:val="1"/>
        </w:numPr>
        <w:spacing w:before="105" w:after="105" w:line="360" w:lineRule="auto"/>
        <w:rPr>
          <w:sz w:val="16"/>
          <w:szCs w:val="16"/>
          <w:lang w:eastAsia="zh-TW"/>
        </w:rPr>
      </w:pPr>
      <w:r w:rsidRPr="00C955AB">
        <w:rPr>
          <w:rFonts w:eastAsia="Georgia" w:hAnsi="Georgia" w:cs="Georgia"/>
          <w:color w:val="000000"/>
          <w:sz w:val="16"/>
          <w:szCs w:val="16"/>
          <w:lang w:eastAsia="zh-TW"/>
        </w:rPr>
        <w:t>任何先前的首次公開募股準備、盡職調查、企業融資活動或中止上市流程的詳細資料。</w:t>
      </w:r>
    </w:p>
    <w:p w14:paraId="42B689DE" w14:textId="77777777" w:rsidR="002600B0" w:rsidRDefault="00D36216" w:rsidP="002600B0">
      <w:pPr>
        <w:spacing w:before="315" w:after="105" w:line="360" w:lineRule="auto"/>
        <w:ind w:left="-30"/>
        <w:rPr>
          <w:sz w:val="16"/>
          <w:szCs w:val="16"/>
          <w:lang w:eastAsia="zh-TW"/>
        </w:rPr>
      </w:pPr>
      <w:bookmarkStart w:id="2" w:name="corporate_and_group_structure"/>
      <w:r w:rsidRPr="00C955AB">
        <w:rPr>
          <w:rFonts w:eastAsia="Georgia" w:hAnsi="Georgia" w:cs="Georgia"/>
          <w:b/>
          <w:color w:val="000000"/>
          <w:sz w:val="16"/>
          <w:szCs w:val="16"/>
          <w:lang w:eastAsia="zh-TW"/>
        </w:rPr>
        <w:t>公司與集團結構</w:t>
      </w:r>
      <w:bookmarkEnd w:id="2"/>
    </w:p>
    <w:p w14:paraId="1BA0FDDC" w14:textId="187E5CB0" w:rsidR="003B7339" w:rsidRPr="002600B0" w:rsidRDefault="002E1433" w:rsidP="002600B0">
      <w:pPr>
        <w:spacing w:before="315" w:after="105" w:line="360" w:lineRule="auto"/>
        <w:ind w:left="-30"/>
        <w:rPr>
          <w:sz w:val="16"/>
          <w:szCs w:val="16"/>
          <w:lang w:eastAsia="zh-TW"/>
        </w:rPr>
      </w:pPr>
      <w:r w:rsidRPr="002E1433">
        <w:rPr>
          <w:rFonts w:eastAsia="Georgia" w:hAnsi="Georgia" w:cs="Georgia"/>
          <w:i/>
          <w:iCs/>
          <w:color w:val="000000"/>
          <w:sz w:val="16"/>
          <w:szCs w:val="16"/>
          <w:lang w:eastAsia="zh-TW"/>
        </w:rPr>
        <w:t>在開始詳細工作前，請先了解法律與所有權結構的完整架構：</w:t>
      </w:r>
    </w:p>
    <w:p w14:paraId="0A37A110" w14:textId="77777777" w:rsidR="003B7339" w:rsidRPr="00C955AB" w:rsidRDefault="00D36216">
      <w:pPr>
        <w:numPr>
          <w:ilvl w:val="0"/>
          <w:numId w:val="2"/>
        </w:numPr>
        <w:spacing w:before="105" w:after="105" w:line="360" w:lineRule="auto"/>
        <w:rPr>
          <w:sz w:val="16"/>
          <w:szCs w:val="16"/>
          <w:lang w:eastAsia="zh-TW"/>
        </w:rPr>
      </w:pPr>
      <w:r w:rsidRPr="00C955AB">
        <w:rPr>
          <w:rFonts w:eastAsia="Georgia" w:hAnsi="Georgia" w:cs="Georgia"/>
          <w:color w:val="000000"/>
          <w:sz w:val="16"/>
          <w:szCs w:val="16"/>
          <w:lang w:eastAsia="zh-TW"/>
        </w:rPr>
        <w:t>最新的集團結構圖，顯示所有控股公司、子公司、分支機構、代表處、合作夥伴及合資企業。</w:t>
      </w:r>
    </w:p>
    <w:p w14:paraId="132AA8E0" w14:textId="77777777" w:rsidR="003B7339" w:rsidRPr="00C955AB" w:rsidRDefault="00D36216">
      <w:pPr>
        <w:numPr>
          <w:ilvl w:val="0"/>
          <w:numId w:val="2"/>
        </w:numPr>
        <w:spacing w:before="105" w:after="105" w:line="360" w:lineRule="auto"/>
        <w:rPr>
          <w:sz w:val="16"/>
          <w:szCs w:val="16"/>
          <w:lang w:eastAsia="zh-TW"/>
        </w:rPr>
      </w:pPr>
      <w:r w:rsidRPr="00C955AB">
        <w:rPr>
          <w:rFonts w:eastAsia="Georgia" w:hAnsi="Georgia" w:cs="Georgia"/>
          <w:color w:val="000000"/>
          <w:sz w:val="16"/>
          <w:szCs w:val="16"/>
          <w:lang w:eastAsia="zh-TW"/>
        </w:rPr>
        <w:t>各實體的持股比例、設立地點及主要業務內容。</w:t>
      </w:r>
    </w:p>
    <w:p w14:paraId="669D467B" w14:textId="77777777" w:rsidR="003B7339" w:rsidRPr="00C955AB" w:rsidRDefault="00D36216">
      <w:pPr>
        <w:numPr>
          <w:ilvl w:val="0"/>
          <w:numId w:val="2"/>
        </w:numPr>
        <w:spacing w:before="105" w:after="105" w:line="360" w:lineRule="auto"/>
        <w:rPr>
          <w:sz w:val="16"/>
          <w:szCs w:val="16"/>
          <w:lang w:eastAsia="zh-TW"/>
        </w:rPr>
      </w:pPr>
      <w:r w:rsidRPr="00C955AB">
        <w:rPr>
          <w:rFonts w:eastAsia="Georgia" w:hAnsi="Georgia" w:cs="Georgia"/>
          <w:color w:val="000000"/>
          <w:sz w:val="16"/>
          <w:szCs w:val="16"/>
          <w:lang w:eastAsia="zh-TW"/>
        </w:rPr>
        <w:t>各重要實體的憲法文件、公司註冊書、商業登記及法定記錄。</w:t>
      </w:r>
    </w:p>
    <w:p w14:paraId="3AA5C3DC" w14:textId="77777777" w:rsidR="003B7339" w:rsidRPr="00C955AB" w:rsidRDefault="00D36216">
      <w:pPr>
        <w:numPr>
          <w:ilvl w:val="0"/>
          <w:numId w:val="2"/>
        </w:numPr>
        <w:spacing w:before="105" w:after="105" w:line="360" w:lineRule="auto"/>
        <w:rPr>
          <w:sz w:val="16"/>
          <w:szCs w:val="16"/>
          <w:lang w:eastAsia="zh-TW"/>
        </w:rPr>
      </w:pPr>
      <w:r w:rsidRPr="00C955AB">
        <w:rPr>
          <w:rFonts w:eastAsia="Georgia" w:hAnsi="Georgia" w:cs="Georgia"/>
          <w:color w:val="000000"/>
          <w:sz w:val="16"/>
          <w:szCs w:val="16"/>
          <w:lang w:eastAsia="zh-TW"/>
        </w:rPr>
        <w:t>會員登記冊、董事登記冊及最終實益所有權細節。</w:t>
      </w:r>
    </w:p>
    <w:p w14:paraId="0457AD56" w14:textId="77777777" w:rsidR="003B7339" w:rsidRPr="00C955AB" w:rsidRDefault="00D36216">
      <w:pPr>
        <w:numPr>
          <w:ilvl w:val="0"/>
          <w:numId w:val="2"/>
        </w:numPr>
        <w:spacing w:before="105" w:after="105" w:line="360" w:lineRule="auto"/>
        <w:rPr>
          <w:sz w:val="16"/>
          <w:szCs w:val="16"/>
          <w:lang w:eastAsia="zh-TW"/>
        </w:rPr>
      </w:pPr>
      <w:r w:rsidRPr="00C955AB">
        <w:rPr>
          <w:rFonts w:eastAsia="Georgia" w:hAnsi="Georgia" w:cs="Georgia"/>
          <w:color w:val="000000"/>
          <w:sz w:val="16"/>
          <w:szCs w:val="16"/>
          <w:lang w:eastAsia="zh-TW"/>
        </w:rPr>
        <w:t>名義持有人、信託、變動權益實體安排、側邊協議或其他非標準控制安排的詳細資訊。</w:t>
      </w:r>
    </w:p>
    <w:p w14:paraId="32A16AA0" w14:textId="3916832A" w:rsidR="003B7339" w:rsidRPr="00C955AB" w:rsidRDefault="00D36216">
      <w:pPr>
        <w:numPr>
          <w:ilvl w:val="0"/>
          <w:numId w:val="2"/>
        </w:numPr>
        <w:spacing w:before="105" w:after="105" w:line="360" w:lineRule="auto"/>
        <w:rPr>
          <w:sz w:val="16"/>
          <w:szCs w:val="16"/>
          <w:lang w:eastAsia="zh-TW"/>
        </w:rPr>
      </w:pPr>
      <w:r w:rsidRPr="00C955AB">
        <w:rPr>
          <w:rFonts w:eastAsia="Georgia" w:hAnsi="Georgia" w:cs="Georgia"/>
          <w:color w:val="000000"/>
          <w:sz w:val="16"/>
          <w:szCs w:val="16"/>
          <w:lang w:eastAsia="zh-TW"/>
        </w:rPr>
        <w:t>有關歷史及擬議重組的資訊。</w:t>
      </w:r>
    </w:p>
    <w:p w14:paraId="7584404F" w14:textId="77777777" w:rsidR="003B7339" w:rsidRPr="00C955AB" w:rsidRDefault="00D36216">
      <w:pPr>
        <w:spacing w:before="315" w:after="105" w:line="360" w:lineRule="auto"/>
        <w:ind w:left="-30"/>
        <w:rPr>
          <w:sz w:val="16"/>
          <w:szCs w:val="16"/>
          <w:lang w:eastAsia="zh-TW"/>
        </w:rPr>
      </w:pPr>
      <w:bookmarkStart w:id="3" w:name="share_capital_and_investor_history"/>
      <w:r w:rsidRPr="00C955AB">
        <w:rPr>
          <w:rFonts w:eastAsia="Georgia" w:hAnsi="Georgia" w:cs="Georgia"/>
          <w:b/>
          <w:color w:val="000000"/>
          <w:sz w:val="16"/>
          <w:szCs w:val="16"/>
          <w:lang w:eastAsia="zh-TW"/>
        </w:rPr>
        <w:t>股本與投資人歷史</w:t>
      </w:r>
      <w:bookmarkEnd w:id="3"/>
    </w:p>
    <w:p w14:paraId="6DA3FBC6" w14:textId="2492AF56" w:rsidR="003B7339" w:rsidRPr="00EC163D" w:rsidRDefault="00EC163D">
      <w:pPr>
        <w:spacing w:after="210" w:line="360" w:lineRule="auto"/>
        <w:rPr>
          <w:i/>
          <w:iCs/>
          <w:sz w:val="16"/>
          <w:szCs w:val="16"/>
          <w:lang w:eastAsia="zh-TW"/>
        </w:rPr>
      </w:pPr>
      <w:r w:rsidRPr="00EC163D">
        <w:rPr>
          <w:rFonts w:eastAsia="Georgia" w:hAnsi="Georgia" w:cs="Georgia"/>
          <w:i/>
          <w:iCs/>
          <w:color w:val="000000"/>
          <w:sz w:val="16"/>
          <w:szCs w:val="16"/>
          <w:lang w:eastAsia="zh-TW"/>
        </w:rPr>
        <w:t>完整的股權故事與資本歷史：</w:t>
      </w:r>
    </w:p>
    <w:p w14:paraId="46FEDC7B" w14:textId="77777777" w:rsidR="003B7339" w:rsidRPr="00C955AB" w:rsidRDefault="00D36216">
      <w:pPr>
        <w:numPr>
          <w:ilvl w:val="0"/>
          <w:numId w:val="3"/>
        </w:numPr>
        <w:spacing w:before="105" w:after="105" w:line="360" w:lineRule="auto"/>
        <w:rPr>
          <w:sz w:val="16"/>
          <w:szCs w:val="16"/>
          <w:lang w:eastAsia="zh-TW"/>
        </w:rPr>
      </w:pPr>
      <w:r w:rsidRPr="00C955AB">
        <w:rPr>
          <w:rFonts w:eastAsia="Georgia" w:hAnsi="Georgia" w:cs="Georgia"/>
          <w:color w:val="000000"/>
          <w:sz w:val="16"/>
          <w:szCs w:val="16"/>
          <w:lang w:eastAsia="zh-TW"/>
        </w:rPr>
        <w:t>目前的資本化表，包括所有股份類別及持股比例。</w:t>
      </w:r>
    </w:p>
    <w:p w14:paraId="3A5D36C5" w14:textId="77777777" w:rsidR="003B7339" w:rsidRPr="00C955AB" w:rsidRDefault="00D36216">
      <w:pPr>
        <w:numPr>
          <w:ilvl w:val="0"/>
          <w:numId w:val="3"/>
        </w:numPr>
        <w:spacing w:before="105" w:after="105" w:line="360" w:lineRule="auto"/>
        <w:rPr>
          <w:sz w:val="16"/>
          <w:szCs w:val="16"/>
          <w:lang w:eastAsia="zh-TW"/>
        </w:rPr>
      </w:pPr>
      <w:r w:rsidRPr="00C955AB">
        <w:rPr>
          <w:rFonts w:eastAsia="Georgia" w:hAnsi="Georgia" w:cs="Georgia"/>
          <w:color w:val="000000"/>
          <w:sz w:val="16"/>
          <w:szCs w:val="16"/>
          <w:lang w:eastAsia="zh-TW"/>
        </w:rPr>
        <w:t>過去股票發行、轉讓、回購、贖回、紅利發行、資本縮減及股息詳情。</w:t>
      </w:r>
    </w:p>
    <w:p w14:paraId="250B0679" w14:textId="77777777" w:rsidR="003B7339" w:rsidRPr="00C955AB" w:rsidRDefault="00D36216">
      <w:pPr>
        <w:numPr>
          <w:ilvl w:val="0"/>
          <w:numId w:val="3"/>
        </w:numPr>
        <w:spacing w:before="105" w:after="105" w:line="360" w:lineRule="auto"/>
        <w:rPr>
          <w:sz w:val="16"/>
          <w:szCs w:val="16"/>
          <w:lang w:eastAsia="zh-TW"/>
        </w:rPr>
      </w:pPr>
      <w:r w:rsidRPr="00C955AB">
        <w:rPr>
          <w:rFonts w:eastAsia="Georgia" w:hAnsi="Georgia" w:cs="Georgia"/>
          <w:color w:val="000000"/>
          <w:sz w:val="16"/>
          <w:szCs w:val="16"/>
          <w:lang w:eastAsia="zh-TW"/>
        </w:rPr>
        <w:t>股東協議、投資人權利協議、認購協議及附函。</w:t>
      </w:r>
    </w:p>
    <w:p w14:paraId="330420CE" w14:textId="09980BCF" w:rsidR="003B7339" w:rsidRPr="00C955AB" w:rsidRDefault="00D36216">
      <w:pPr>
        <w:numPr>
          <w:ilvl w:val="0"/>
          <w:numId w:val="3"/>
        </w:numPr>
        <w:spacing w:before="105" w:after="105" w:line="360" w:lineRule="auto"/>
        <w:rPr>
          <w:sz w:val="16"/>
          <w:szCs w:val="16"/>
          <w:lang w:eastAsia="zh-TW"/>
        </w:rPr>
      </w:pPr>
      <w:r w:rsidRPr="00C955AB">
        <w:rPr>
          <w:rFonts w:eastAsia="Georgia" w:hAnsi="Georgia" w:cs="Georgia"/>
          <w:color w:val="000000"/>
          <w:sz w:val="16"/>
          <w:szCs w:val="16"/>
          <w:lang w:eastAsia="zh-TW"/>
        </w:rPr>
        <w:t>優先股、可轉換工具、認股權證、期權</w:t>
      </w:r>
      <w:r w:rsidR="008C66F8">
        <w:rPr>
          <w:rFonts w:eastAsia="Georgia" w:hAnsi="Georgia" w:cs="Georgia"/>
          <w:color w:val="000000"/>
          <w:sz w:val="16"/>
          <w:szCs w:val="16"/>
          <w:lang w:val="en-HK" w:eastAsia="zh-TW"/>
        </w:rPr>
        <w:t xml:space="preserve"> </w:t>
      </w:r>
      <w:r w:rsidRPr="00C955AB">
        <w:rPr>
          <w:rFonts w:eastAsia="Georgia" w:hAnsi="Georgia" w:cs="Georgia"/>
          <w:color w:val="000000"/>
          <w:sz w:val="16"/>
          <w:szCs w:val="16"/>
          <w:lang w:eastAsia="zh-TW"/>
        </w:rPr>
        <w:t>或類似權利的詳細資訊。</w:t>
      </w:r>
    </w:p>
    <w:p w14:paraId="406B584D" w14:textId="74BB7ACF" w:rsidR="003B7339" w:rsidRPr="00C955AB" w:rsidRDefault="00D36216">
      <w:pPr>
        <w:numPr>
          <w:ilvl w:val="0"/>
          <w:numId w:val="3"/>
        </w:numPr>
        <w:spacing w:before="105" w:after="105" w:line="360" w:lineRule="auto"/>
        <w:rPr>
          <w:sz w:val="16"/>
          <w:szCs w:val="16"/>
          <w:lang w:eastAsia="zh-TW"/>
        </w:rPr>
      </w:pPr>
      <w:r w:rsidRPr="00C955AB">
        <w:rPr>
          <w:rFonts w:eastAsia="Georgia" w:hAnsi="Georgia" w:cs="Georgia"/>
          <w:color w:val="000000"/>
          <w:sz w:val="16"/>
          <w:szCs w:val="16"/>
          <w:lang w:eastAsia="zh-TW"/>
        </w:rPr>
        <w:t>員工股票選擇權計畫。</w:t>
      </w:r>
    </w:p>
    <w:p w14:paraId="7127572A" w14:textId="2E4D6E70" w:rsidR="003B7339" w:rsidRPr="00C955AB" w:rsidRDefault="00D36216">
      <w:pPr>
        <w:numPr>
          <w:ilvl w:val="0"/>
          <w:numId w:val="3"/>
        </w:numPr>
        <w:spacing w:before="105" w:after="105" w:line="360" w:lineRule="auto"/>
        <w:rPr>
          <w:sz w:val="16"/>
          <w:szCs w:val="16"/>
          <w:lang w:eastAsia="zh-TW"/>
        </w:rPr>
      </w:pPr>
      <w:r w:rsidRPr="00C955AB">
        <w:rPr>
          <w:rFonts w:eastAsia="Georgia" w:hAnsi="Georgia" w:cs="Georgia"/>
          <w:color w:val="000000"/>
          <w:sz w:val="16"/>
          <w:szCs w:val="16"/>
          <w:lang w:eastAsia="zh-TW"/>
        </w:rPr>
        <w:t>任何規劃中的基石項目、上市前的投資安排，或策略性投資安排。</w:t>
      </w:r>
    </w:p>
    <w:p w14:paraId="0E55A162" w14:textId="77777777" w:rsidR="00E856AF" w:rsidRDefault="00E856AF">
      <w:pPr>
        <w:spacing w:before="315" w:after="105" w:line="360" w:lineRule="auto"/>
        <w:ind w:left="-30"/>
        <w:rPr>
          <w:rFonts w:eastAsia="Georgia" w:hAnsi="Georgia" w:cs="Georgia"/>
          <w:b/>
          <w:color w:val="000000"/>
          <w:sz w:val="16"/>
          <w:szCs w:val="16"/>
          <w:lang w:eastAsia="zh-TW"/>
        </w:rPr>
      </w:pPr>
      <w:bookmarkStart w:id="4" w:name="business_overview"/>
    </w:p>
    <w:p w14:paraId="203720A1" w14:textId="77777777" w:rsidR="00E856AF" w:rsidRDefault="00E856AF">
      <w:pPr>
        <w:spacing w:before="315" w:after="105" w:line="360" w:lineRule="auto"/>
        <w:ind w:left="-30"/>
        <w:rPr>
          <w:rFonts w:eastAsia="Georgia" w:hAnsi="Georgia" w:cs="Georgia"/>
          <w:b/>
          <w:color w:val="000000"/>
          <w:sz w:val="16"/>
          <w:szCs w:val="16"/>
          <w:lang w:eastAsia="zh-TW"/>
        </w:rPr>
      </w:pPr>
    </w:p>
    <w:p w14:paraId="4D597611" w14:textId="77777777" w:rsidR="00E856AF" w:rsidRDefault="00E856AF">
      <w:pPr>
        <w:spacing w:before="315" w:after="105" w:line="360" w:lineRule="auto"/>
        <w:ind w:left="-30"/>
        <w:rPr>
          <w:rFonts w:eastAsia="Georgia" w:hAnsi="Georgia" w:cs="Georgia"/>
          <w:b/>
          <w:color w:val="000000"/>
          <w:sz w:val="16"/>
          <w:szCs w:val="16"/>
          <w:lang w:eastAsia="zh-TW"/>
        </w:rPr>
      </w:pPr>
    </w:p>
    <w:p w14:paraId="0892B13C" w14:textId="77777777" w:rsidR="00E856AF" w:rsidRDefault="00E856AF">
      <w:pPr>
        <w:spacing w:before="315" w:after="105" w:line="360" w:lineRule="auto"/>
        <w:ind w:left="-30"/>
        <w:rPr>
          <w:rFonts w:eastAsia="Georgia" w:hAnsi="Georgia" w:cs="Georgia"/>
          <w:b/>
          <w:color w:val="000000"/>
          <w:sz w:val="16"/>
          <w:szCs w:val="16"/>
          <w:lang w:eastAsia="zh-TW"/>
        </w:rPr>
      </w:pPr>
    </w:p>
    <w:p w14:paraId="0D47D442" w14:textId="7C133986" w:rsidR="003B7339" w:rsidRPr="00C955AB" w:rsidRDefault="00D36216">
      <w:pPr>
        <w:spacing w:before="315" w:after="105" w:line="360" w:lineRule="auto"/>
        <w:ind w:left="-30"/>
        <w:rPr>
          <w:sz w:val="16"/>
          <w:szCs w:val="16"/>
          <w:lang w:eastAsia="zh-TW"/>
        </w:rPr>
      </w:pPr>
      <w:r w:rsidRPr="00C955AB">
        <w:rPr>
          <w:rFonts w:eastAsia="Georgia" w:hAnsi="Georgia" w:cs="Georgia"/>
          <w:b/>
          <w:color w:val="000000"/>
          <w:sz w:val="16"/>
          <w:szCs w:val="16"/>
          <w:lang w:eastAsia="zh-TW"/>
        </w:rPr>
        <w:lastRenderedPageBreak/>
        <w:t>業務概述</w:t>
      </w:r>
      <w:bookmarkEnd w:id="4"/>
    </w:p>
    <w:p w14:paraId="17A68DF8" w14:textId="619A804D" w:rsidR="003B7339" w:rsidRPr="00B634D0" w:rsidRDefault="00B634D0">
      <w:pPr>
        <w:spacing w:after="210" w:line="360" w:lineRule="auto"/>
        <w:rPr>
          <w:i/>
          <w:iCs/>
          <w:sz w:val="16"/>
          <w:szCs w:val="16"/>
          <w:lang w:eastAsia="zh-TW"/>
        </w:rPr>
      </w:pPr>
      <w:r w:rsidRPr="00B634D0">
        <w:rPr>
          <w:rFonts w:eastAsia="Georgia" w:hAnsi="Georgia" w:cs="Georgia"/>
          <w:i/>
          <w:iCs/>
          <w:color w:val="000000"/>
          <w:sz w:val="16"/>
          <w:szCs w:val="16"/>
          <w:lang w:eastAsia="zh-TW"/>
        </w:rPr>
        <w:t>有助於清楚了解發行人的商業模式及成長驅動因素：</w:t>
      </w:r>
    </w:p>
    <w:p w14:paraId="6BA11A17" w14:textId="77777777" w:rsidR="003B7339" w:rsidRPr="00C955AB" w:rsidRDefault="00D36216">
      <w:pPr>
        <w:numPr>
          <w:ilvl w:val="0"/>
          <w:numId w:val="4"/>
        </w:numPr>
        <w:spacing w:before="105" w:after="105" w:line="360" w:lineRule="auto"/>
        <w:rPr>
          <w:sz w:val="16"/>
          <w:szCs w:val="16"/>
          <w:lang w:eastAsia="zh-TW"/>
        </w:rPr>
      </w:pPr>
      <w:r w:rsidRPr="00C955AB">
        <w:rPr>
          <w:rFonts w:eastAsia="Georgia" w:hAnsi="Georgia" w:cs="Georgia"/>
          <w:color w:val="000000"/>
          <w:sz w:val="16"/>
          <w:szCs w:val="16"/>
          <w:lang w:eastAsia="zh-TW"/>
        </w:rPr>
        <w:t>公司歷史與關鍵發展里程碑。</w:t>
      </w:r>
    </w:p>
    <w:p w14:paraId="1E72CAA3" w14:textId="77777777" w:rsidR="003B7339" w:rsidRPr="00C955AB" w:rsidRDefault="00D36216">
      <w:pPr>
        <w:numPr>
          <w:ilvl w:val="0"/>
          <w:numId w:val="4"/>
        </w:numPr>
        <w:spacing w:before="105" w:after="105" w:line="360" w:lineRule="auto"/>
        <w:rPr>
          <w:sz w:val="16"/>
          <w:szCs w:val="16"/>
          <w:lang w:eastAsia="zh-TW"/>
        </w:rPr>
      </w:pPr>
      <w:r w:rsidRPr="00C955AB">
        <w:rPr>
          <w:rFonts w:eastAsia="Georgia" w:hAnsi="Georgia" w:cs="Georgia"/>
          <w:color w:val="000000"/>
          <w:sz w:val="16"/>
          <w:szCs w:val="16"/>
          <w:lang w:eastAsia="zh-TW"/>
        </w:rPr>
        <w:t>產品與服務描述、目標客戶、定價模式及競爭定位。</w:t>
      </w:r>
    </w:p>
    <w:p w14:paraId="34D48072" w14:textId="77777777" w:rsidR="003B7339" w:rsidRPr="00C955AB" w:rsidRDefault="00D36216">
      <w:pPr>
        <w:numPr>
          <w:ilvl w:val="0"/>
          <w:numId w:val="4"/>
        </w:numPr>
        <w:spacing w:before="105" w:after="105" w:line="360" w:lineRule="auto"/>
        <w:rPr>
          <w:sz w:val="16"/>
          <w:szCs w:val="16"/>
          <w:lang w:eastAsia="zh-TW"/>
        </w:rPr>
      </w:pPr>
      <w:r w:rsidRPr="00C955AB">
        <w:rPr>
          <w:rFonts w:eastAsia="Georgia" w:hAnsi="Georgia" w:cs="Georgia"/>
          <w:color w:val="000000"/>
          <w:sz w:val="16"/>
          <w:szCs w:val="16"/>
          <w:lang w:eastAsia="zh-TW"/>
        </w:rPr>
        <w:t>營收模式、成本驅動因素、毛利率及主要業務部門。</w:t>
      </w:r>
    </w:p>
    <w:p w14:paraId="575055DA" w14:textId="77777777" w:rsidR="003B7339" w:rsidRPr="00C955AB" w:rsidRDefault="00D36216">
      <w:pPr>
        <w:numPr>
          <w:ilvl w:val="0"/>
          <w:numId w:val="4"/>
        </w:numPr>
        <w:spacing w:before="105" w:after="105" w:line="360" w:lineRule="auto"/>
        <w:rPr>
          <w:sz w:val="16"/>
          <w:szCs w:val="16"/>
          <w:lang w:eastAsia="zh-TW"/>
        </w:rPr>
      </w:pPr>
      <w:r w:rsidRPr="00C955AB">
        <w:rPr>
          <w:rFonts w:eastAsia="Georgia" w:hAnsi="Georgia" w:cs="Georgia"/>
          <w:color w:val="000000"/>
          <w:sz w:val="16"/>
          <w:szCs w:val="16"/>
          <w:lang w:eastAsia="zh-TW"/>
        </w:rPr>
        <w:t>依市場、辦公室、生產地點、倉庫及銷售通路劃分的地理範圍。</w:t>
      </w:r>
    </w:p>
    <w:p w14:paraId="3FFA6E20" w14:textId="5C694139" w:rsidR="003B7339" w:rsidRPr="00C955AB" w:rsidRDefault="00D36216">
      <w:pPr>
        <w:numPr>
          <w:ilvl w:val="0"/>
          <w:numId w:val="4"/>
        </w:numPr>
        <w:spacing w:before="105" w:after="105" w:line="360" w:lineRule="auto"/>
        <w:rPr>
          <w:sz w:val="16"/>
          <w:szCs w:val="16"/>
          <w:lang w:eastAsia="zh-TW"/>
        </w:rPr>
      </w:pPr>
      <w:r w:rsidRPr="00C955AB">
        <w:rPr>
          <w:rFonts w:eastAsia="Georgia" w:hAnsi="Georgia" w:cs="Georgia"/>
          <w:color w:val="000000"/>
          <w:sz w:val="16"/>
          <w:szCs w:val="16"/>
          <w:lang w:eastAsia="zh-TW"/>
        </w:rPr>
        <w:t>關鍵客戶與供應商特徵、合約條款及依賴風險。</w:t>
      </w:r>
    </w:p>
    <w:p w14:paraId="055FAAFA" w14:textId="77777777" w:rsidR="003B7339" w:rsidRPr="00C955AB" w:rsidRDefault="00D36216">
      <w:pPr>
        <w:numPr>
          <w:ilvl w:val="0"/>
          <w:numId w:val="4"/>
        </w:numPr>
        <w:spacing w:before="105" w:after="105" w:line="360" w:lineRule="auto"/>
        <w:rPr>
          <w:sz w:val="16"/>
          <w:szCs w:val="16"/>
          <w:lang w:eastAsia="zh-TW"/>
        </w:rPr>
      </w:pPr>
      <w:r w:rsidRPr="00C955AB">
        <w:rPr>
          <w:rFonts w:eastAsia="Georgia" w:hAnsi="Georgia" w:cs="Georgia"/>
          <w:color w:val="000000"/>
          <w:sz w:val="16"/>
          <w:szCs w:val="16"/>
          <w:lang w:eastAsia="zh-TW"/>
        </w:rPr>
        <w:t>產業概覽資料、市場研究及內部商業計畫。</w:t>
      </w:r>
    </w:p>
    <w:p w14:paraId="422EFB22" w14:textId="60F8AE2F" w:rsidR="003B7339" w:rsidRPr="00C955AB" w:rsidRDefault="00D36216">
      <w:pPr>
        <w:numPr>
          <w:ilvl w:val="0"/>
          <w:numId w:val="4"/>
        </w:numPr>
        <w:spacing w:before="105" w:after="105" w:line="360" w:lineRule="auto"/>
        <w:rPr>
          <w:sz w:val="16"/>
          <w:szCs w:val="16"/>
          <w:lang w:eastAsia="zh-TW"/>
        </w:rPr>
      </w:pPr>
      <w:r w:rsidRPr="00C955AB">
        <w:rPr>
          <w:rFonts w:eastAsia="Georgia" w:hAnsi="Georgia" w:cs="Georgia"/>
          <w:color w:val="000000"/>
          <w:sz w:val="16"/>
          <w:szCs w:val="16"/>
          <w:lang w:eastAsia="zh-TW"/>
        </w:rPr>
        <w:t>管理層的股權、成長策略與投資重點。</w:t>
      </w:r>
    </w:p>
    <w:p w14:paraId="1F6517AD" w14:textId="77777777" w:rsidR="003B7339" w:rsidRPr="00C955AB" w:rsidRDefault="00D36216">
      <w:pPr>
        <w:spacing w:before="315" w:after="105" w:line="360" w:lineRule="auto"/>
        <w:ind w:left="-30"/>
        <w:rPr>
          <w:sz w:val="16"/>
          <w:szCs w:val="16"/>
          <w:lang w:eastAsia="zh-TW"/>
        </w:rPr>
      </w:pPr>
      <w:bookmarkStart w:id="5" w:name="business_flow_and_operations"/>
      <w:r w:rsidRPr="00C955AB">
        <w:rPr>
          <w:rFonts w:eastAsia="Georgia" w:hAnsi="Georgia" w:cs="Georgia"/>
          <w:b/>
          <w:color w:val="000000"/>
          <w:sz w:val="16"/>
          <w:szCs w:val="16"/>
          <w:lang w:eastAsia="zh-TW"/>
        </w:rPr>
        <w:t>業務流程與營運</w:t>
      </w:r>
      <w:bookmarkEnd w:id="5"/>
    </w:p>
    <w:p w14:paraId="044A16E7" w14:textId="470F3723" w:rsidR="003B7339" w:rsidRPr="00B634D0" w:rsidRDefault="00B634D0">
      <w:pPr>
        <w:spacing w:after="210" w:line="360" w:lineRule="auto"/>
        <w:rPr>
          <w:i/>
          <w:iCs/>
          <w:sz w:val="16"/>
          <w:szCs w:val="16"/>
          <w:lang w:eastAsia="zh-TW"/>
        </w:rPr>
      </w:pPr>
      <w:r w:rsidRPr="00B634D0">
        <w:rPr>
          <w:rFonts w:eastAsia="Georgia" w:hAnsi="Georgia" w:cs="Georgia"/>
          <w:i/>
          <w:iCs/>
          <w:color w:val="000000"/>
          <w:sz w:val="16"/>
          <w:szCs w:val="16"/>
          <w:lang w:eastAsia="zh-TW"/>
        </w:rPr>
        <w:t>從頭到尾，實務操作流程說明：</w:t>
      </w:r>
    </w:p>
    <w:p w14:paraId="295D413C" w14:textId="77777777" w:rsidR="003B7339" w:rsidRPr="00C955AB" w:rsidRDefault="00D36216">
      <w:pPr>
        <w:numPr>
          <w:ilvl w:val="0"/>
          <w:numId w:val="5"/>
        </w:numPr>
        <w:spacing w:before="105" w:after="105" w:line="360" w:lineRule="auto"/>
        <w:rPr>
          <w:sz w:val="16"/>
          <w:szCs w:val="16"/>
          <w:lang w:eastAsia="zh-TW"/>
        </w:rPr>
      </w:pPr>
      <w:r w:rsidRPr="00C955AB">
        <w:rPr>
          <w:rFonts w:eastAsia="Georgia" w:hAnsi="Georgia" w:cs="Georgia"/>
          <w:color w:val="000000"/>
          <w:sz w:val="16"/>
          <w:szCs w:val="16"/>
          <w:lang w:eastAsia="zh-TW"/>
        </w:rPr>
        <w:t>涵蓋採購、生產或服務交付、倉儲、物流、銷售、帳單及現金收款的端到端業務流程圖。</w:t>
      </w:r>
    </w:p>
    <w:p w14:paraId="799C5FCD" w14:textId="77777777" w:rsidR="003B7339" w:rsidRPr="00C955AB" w:rsidRDefault="00D36216">
      <w:pPr>
        <w:numPr>
          <w:ilvl w:val="0"/>
          <w:numId w:val="5"/>
        </w:numPr>
        <w:spacing w:before="105" w:after="105" w:line="360" w:lineRule="auto"/>
        <w:rPr>
          <w:sz w:val="16"/>
          <w:szCs w:val="16"/>
          <w:lang w:eastAsia="zh-TW"/>
        </w:rPr>
      </w:pPr>
      <w:r w:rsidRPr="00C955AB">
        <w:rPr>
          <w:rFonts w:eastAsia="Georgia" w:hAnsi="Georgia" w:cs="Georgia"/>
          <w:color w:val="000000"/>
          <w:sz w:val="16"/>
          <w:szCs w:val="16"/>
          <w:lang w:eastAsia="zh-TW"/>
        </w:rPr>
        <w:t>每個主要業務線的營運流程敘事。</w:t>
      </w:r>
    </w:p>
    <w:p w14:paraId="7F1446D6" w14:textId="77777777" w:rsidR="003B7339" w:rsidRPr="00C955AB" w:rsidRDefault="00D36216">
      <w:pPr>
        <w:numPr>
          <w:ilvl w:val="0"/>
          <w:numId w:val="5"/>
        </w:numPr>
        <w:spacing w:before="105" w:after="105" w:line="360" w:lineRule="auto"/>
        <w:rPr>
          <w:sz w:val="16"/>
          <w:szCs w:val="16"/>
          <w:lang w:eastAsia="zh-TW"/>
        </w:rPr>
      </w:pPr>
      <w:r w:rsidRPr="00C955AB">
        <w:rPr>
          <w:rFonts w:eastAsia="Georgia" w:hAnsi="Georgia" w:cs="Georgia"/>
          <w:color w:val="000000"/>
          <w:sz w:val="16"/>
          <w:szCs w:val="16"/>
          <w:lang w:eastAsia="zh-TW"/>
        </w:rPr>
        <w:t>依功能與地點繪製組織架構圖。</w:t>
      </w:r>
    </w:p>
    <w:p w14:paraId="47EE7A40" w14:textId="77777777" w:rsidR="003B7339" w:rsidRPr="00C955AB" w:rsidRDefault="00D36216">
      <w:pPr>
        <w:numPr>
          <w:ilvl w:val="0"/>
          <w:numId w:val="5"/>
        </w:numPr>
        <w:spacing w:before="105" w:after="105" w:line="360" w:lineRule="auto"/>
        <w:rPr>
          <w:sz w:val="16"/>
          <w:szCs w:val="16"/>
          <w:lang w:eastAsia="zh-TW"/>
        </w:rPr>
      </w:pPr>
      <w:r w:rsidRPr="00C955AB">
        <w:rPr>
          <w:rFonts w:eastAsia="Georgia" w:hAnsi="Georgia" w:cs="Georgia"/>
          <w:color w:val="000000"/>
          <w:sz w:val="16"/>
          <w:szCs w:val="16"/>
          <w:lang w:eastAsia="zh-TW"/>
        </w:rPr>
        <w:t>生產能力、利用率、訂單積壓、季節性以及主要營運關鍵績效指標（KPI）。</w:t>
      </w:r>
    </w:p>
    <w:p w14:paraId="22D4C27E" w14:textId="77777777" w:rsidR="003B7339" w:rsidRPr="00C955AB" w:rsidRDefault="00D36216">
      <w:pPr>
        <w:numPr>
          <w:ilvl w:val="0"/>
          <w:numId w:val="5"/>
        </w:numPr>
        <w:spacing w:before="105" w:after="105" w:line="360" w:lineRule="auto"/>
        <w:rPr>
          <w:sz w:val="16"/>
          <w:szCs w:val="16"/>
          <w:lang w:eastAsia="zh-TW"/>
        </w:rPr>
      </w:pPr>
      <w:r w:rsidRPr="00C955AB">
        <w:rPr>
          <w:rFonts w:eastAsia="Georgia" w:hAnsi="Georgia" w:cs="Georgia"/>
          <w:color w:val="000000"/>
          <w:sz w:val="16"/>
          <w:szCs w:val="16"/>
          <w:lang w:eastAsia="zh-TW"/>
        </w:rPr>
        <w:t>採購流程、核准供應商名單及庫存管理方法。</w:t>
      </w:r>
    </w:p>
    <w:p w14:paraId="57361C10" w14:textId="77777777" w:rsidR="003B7339" w:rsidRPr="00C955AB" w:rsidRDefault="00D36216">
      <w:pPr>
        <w:numPr>
          <w:ilvl w:val="0"/>
          <w:numId w:val="5"/>
        </w:numPr>
        <w:spacing w:before="105" w:after="105" w:line="360" w:lineRule="auto"/>
        <w:rPr>
          <w:sz w:val="16"/>
          <w:szCs w:val="16"/>
          <w:lang w:eastAsia="zh-TW"/>
        </w:rPr>
      </w:pPr>
      <w:r w:rsidRPr="00C955AB">
        <w:rPr>
          <w:rFonts w:eastAsia="Georgia" w:hAnsi="Georgia" w:cs="Georgia"/>
          <w:color w:val="000000"/>
          <w:sz w:val="16"/>
          <w:szCs w:val="16"/>
          <w:lang w:eastAsia="zh-TW"/>
        </w:rPr>
        <w:t>銷售週期、合約核准流程，以及售後或服務支援模式。</w:t>
      </w:r>
    </w:p>
    <w:p w14:paraId="51DF65CE" w14:textId="77777777" w:rsidR="003B7339" w:rsidRPr="00C955AB" w:rsidRDefault="00D36216">
      <w:pPr>
        <w:numPr>
          <w:ilvl w:val="0"/>
          <w:numId w:val="5"/>
        </w:numPr>
        <w:spacing w:before="105" w:after="105" w:line="360" w:lineRule="auto"/>
        <w:rPr>
          <w:sz w:val="16"/>
          <w:szCs w:val="16"/>
          <w:lang w:eastAsia="zh-TW"/>
        </w:rPr>
      </w:pPr>
      <w:r w:rsidRPr="00C955AB">
        <w:rPr>
          <w:rFonts w:eastAsia="Georgia" w:hAnsi="Georgia" w:cs="Georgia"/>
          <w:color w:val="000000"/>
          <w:sz w:val="16"/>
          <w:szCs w:val="16"/>
          <w:lang w:eastAsia="zh-TW"/>
        </w:rPr>
        <w:t>說明關鍵 IT 系統、ERP、CRM、財務及財務報告工具。</w:t>
      </w:r>
    </w:p>
    <w:p w14:paraId="0251816E" w14:textId="41479173" w:rsidR="003B7339" w:rsidRPr="00C955AB" w:rsidRDefault="00D36216">
      <w:pPr>
        <w:numPr>
          <w:ilvl w:val="0"/>
          <w:numId w:val="5"/>
        </w:numPr>
        <w:spacing w:before="105" w:after="105" w:line="360" w:lineRule="auto"/>
        <w:rPr>
          <w:sz w:val="16"/>
          <w:szCs w:val="16"/>
          <w:lang w:eastAsia="zh-TW"/>
        </w:rPr>
      </w:pPr>
      <w:r w:rsidRPr="00C955AB">
        <w:rPr>
          <w:rFonts w:eastAsia="Georgia" w:hAnsi="Georgia" w:cs="Georgia"/>
          <w:color w:val="000000"/>
          <w:sz w:val="16"/>
          <w:szCs w:val="16"/>
          <w:lang w:eastAsia="zh-TW"/>
        </w:rPr>
        <w:t>內部核准矩陣與職責分離框架。</w:t>
      </w:r>
    </w:p>
    <w:p w14:paraId="0BDF1A87" w14:textId="77777777" w:rsidR="003B7339" w:rsidRPr="00C955AB" w:rsidRDefault="00D36216">
      <w:pPr>
        <w:spacing w:before="315" w:after="105" w:line="360" w:lineRule="auto"/>
        <w:ind w:left="-30"/>
        <w:rPr>
          <w:sz w:val="16"/>
          <w:szCs w:val="16"/>
          <w:lang w:eastAsia="zh-TW"/>
        </w:rPr>
      </w:pPr>
      <w:bookmarkStart w:id="6" w:name="financial_information"/>
      <w:r w:rsidRPr="00C955AB">
        <w:rPr>
          <w:rFonts w:eastAsia="Georgia" w:hAnsi="Georgia" w:cs="Georgia"/>
          <w:b/>
          <w:color w:val="000000"/>
          <w:sz w:val="16"/>
          <w:szCs w:val="16"/>
          <w:lang w:eastAsia="zh-TW"/>
        </w:rPr>
        <w:t>財務資訊</w:t>
      </w:r>
      <w:bookmarkEnd w:id="6"/>
    </w:p>
    <w:p w14:paraId="09095E0D" w14:textId="2EC98C28" w:rsidR="003B7339" w:rsidRPr="00B634D0" w:rsidRDefault="00B634D0">
      <w:pPr>
        <w:spacing w:after="210" w:line="360" w:lineRule="auto"/>
        <w:rPr>
          <w:i/>
          <w:iCs/>
          <w:sz w:val="16"/>
          <w:szCs w:val="16"/>
          <w:lang w:eastAsia="zh-TW"/>
        </w:rPr>
      </w:pPr>
      <w:r w:rsidRPr="00B634D0">
        <w:rPr>
          <w:rFonts w:eastAsia="Georgia" w:hAnsi="Georgia" w:cs="Georgia"/>
          <w:i/>
          <w:iCs/>
          <w:color w:val="000000"/>
          <w:sz w:val="16"/>
          <w:szCs w:val="16"/>
          <w:lang w:eastAsia="zh-TW"/>
        </w:rPr>
        <w:t>歷史及當前財務資料足以開始財務盡職調查及首次公開募股報告規劃：</w:t>
      </w:r>
    </w:p>
    <w:p w14:paraId="4769DB40" w14:textId="77777777" w:rsidR="003B7339" w:rsidRPr="00C955AB" w:rsidRDefault="00D36216">
      <w:pPr>
        <w:numPr>
          <w:ilvl w:val="0"/>
          <w:numId w:val="6"/>
        </w:numPr>
        <w:spacing w:before="105" w:after="105" w:line="360" w:lineRule="auto"/>
        <w:rPr>
          <w:sz w:val="16"/>
          <w:szCs w:val="16"/>
          <w:lang w:eastAsia="zh-TW"/>
        </w:rPr>
      </w:pPr>
      <w:r w:rsidRPr="00C955AB">
        <w:rPr>
          <w:rFonts w:eastAsia="Georgia" w:hAnsi="Georgia" w:cs="Georgia"/>
          <w:color w:val="000000"/>
          <w:sz w:val="16"/>
          <w:szCs w:val="16"/>
          <w:lang w:eastAsia="zh-TW"/>
        </w:rPr>
        <w:t>至少在過去兩到三個財政年度的審計財務報表。</w:t>
      </w:r>
    </w:p>
    <w:p w14:paraId="430CFC39" w14:textId="77777777" w:rsidR="003B7339" w:rsidRPr="00C955AB" w:rsidRDefault="00D36216">
      <w:pPr>
        <w:numPr>
          <w:ilvl w:val="0"/>
          <w:numId w:val="6"/>
        </w:numPr>
        <w:spacing w:before="105" w:after="105" w:line="360" w:lineRule="auto"/>
        <w:rPr>
          <w:sz w:val="16"/>
          <w:szCs w:val="16"/>
          <w:lang w:eastAsia="zh-TW"/>
        </w:rPr>
      </w:pPr>
      <w:r w:rsidRPr="00C955AB">
        <w:rPr>
          <w:rFonts w:eastAsia="Georgia" w:hAnsi="Georgia" w:cs="Georgia"/>
          <w:color w:val="000000"/>
          <w:sz w:val="16"/>
          <w:szCs w:val="16"/>
          <w:lang w:eastAsia="zh-TW"/>
        </w:rPr>
        <w:t>最新的未經審計管理帳目及年初至今財務結果。</w:t>
      </w:r>
    </w:p>
    <w:p w14:paraId="6434DEB6" w14:textId="77777777" w:rsidR="003B7339" w:rsidRPr="00C955AB" w:rsidRDefault="00D36216">
      <w:pPr>
        <w:numPr>
          <w:ilvl w:val="0"/>
          <w:numId w:val="6"/>
        </w:numPr>
        <w:spacing w:before="105" w:after="105" w:line="360" w:lineRule="auto"/>
        <w:rPr>
          <w:sz w:val="16"/>
          <w:szCs w:val="16"/>
          <w:lang w:eastAsia="zh-TW"/>
        </w:rPr>
      </w:pPr>
      <w:r w:rsidRPr="00C955AB">
        <w:rPr>
          <w:rFonts w:eastAsia="Georgia" w:hAnsi="Georgia" w:cs="Georgia"/>
          <w:color w:val="000000"/>
          <w:sz w:val="16"/>
          <w:szCs w:val="16"/>
          <w:lang w:eastAsia="zh-TW"/>
        </w:rPr>
        <w:t>每月試算表、總帳和詳細的帳戶清單。</w:t>
      </w:r>
    </w:p>
    <w:p w14:paraId="5B50DB4F" w14:textId="77777777" w:rsidR="003B7339" w:rsidRPr="00C955AB" w:rsidRDefault="00D36216">
      <w:pPr>
        <w:numPr>
          <w:ilvl w:val="0"/>
          <w:numId w:val="6"/>
        </w:numPr>
        <w:spacing w:before="105" w:after="105" w:line="360" w:lineRule="auto"/>
        <w:rPr>
          <w:sz w:val="16"/>
          <w:szCs w:val="16"/>
          <w:lang w:eastAsia="zh-TW"/>
        </w:rPr>
      </w:pPr>
      <w:r w:rsidRPr="00C955AB">
        <w:rPr>
          <w:rFonts w:eastAsia="Georgia" w:hAnsi="Georgia" w:cs="Georgia"/>
          <w:color w:val="000000"/>
          <w:sz w:val="16"/>
          <w:szCs w:val="16"/>
          <w:lang w:eastAsia="zh-TW"/>
        </w:rPr>
        <w:t>依產品、地域、通路、客戶及法人實體進行營收分析。</w:t>
      </w:r>
    </w:p>
    <w:p w14:paraId="47FA54D1" w14:textId="77777777" w:rsidR="003B7339" w:rsidRPr="00C955AB" w:rsidRDefault="00D36216">
      <w:pPr>
        <w:numPr>
          <w:ilvl w:val="0"/>
          <w:numId w:val="6"/>
        </w:numPr>
        <w:spacing w:before="105" w:after="105" w:line="360" w:lineRule="auto"/>
        <w:rPr>
          <w:sz w:val="16"/>
          <w:szCs w:val="16"/>
          <w:lang w:eastAsia="zh-TW"/>
        </w:rPr>
      </w:pPr>
      <w:r w:rsidRPr="00C955AB">
        <w:rPr>
          <w:rFonts w:eastAsia="Georgia" w:hAnsi="Georgia" w:cs="Georgia"/>
          <w:color w:val="000000"/>
          <w:sz w:val="16"/>
          <w:szCs w:val="16"/>
          <w:lang w:eastAsia="zh-TW"/>
        </w:rPr>
        <w:t>毛利、營運費用、EBITDA、營運資金、現金流及債務摘要。</w:t>
      </w:r>
    </w:p>
    <w:p w14:paraId="6994BE13" w14:textId="77777777" w:rsidR="003B7339" w:rsidRPr="00C955AB" w:rsidRDefault="00D36216">
      <w:pPr>
        <w:numPr>
          <w:ilvl w:val="0"/>
          <w:numId w:val="6"/>
        </w:numPr>
        <w:spacing w:before="105" w:after="105" w:line="360" w:lineRule="auto"/>
        <w:rPr>
          <w:sz w:val="16"/>
          <w:szCs w:val="16"/>
          <w:lang w:eastAsia="zh-TW"/>
        </w:rPr>
      </w:pPr>
      <w:r w:rsidRPr="00C955AB">
        <w:rPr>
          <w:rFonts w:eastAsia="Georgia" w:hAnsi="Georgia" w:cs="Georgia"/>
          <w:color w:val="000000"/>
          <w:sz w:val="16"/>
          <w:szCs w:val="16"/>
          <w:lang w:eastAsia="zh-TW"/>
        </w:rPr>
        <w:t>非重複項目、公允價值調整、相關方餘額及異常交易詳情。</w:t>
      </w:r>
    </w:p>
    <w:p w14:paraId="0A4CCB2D" w14:textId="77777777" w:rsidR="003B7339" w:rsidRPr="00C955AB" w:rsidRDefault="00D36216">
      <w:pPr>
        <w:numPr>
          <w:ilvl w:val="0"/>
          <w:numId w:val="6"/>
        </w:numPr>
        <w:spacing w:before="105" w:after="105" w:line="360" w:lineRule="auto"/>
        <w:rPr>
          <w:sz w:val="16"/>
          <w:szCs w:val="16"/>
          <w:lang w:eastAsia="zh-TW"/>
        </w:rPr>
      </w:pPr>
      <w:r w:rsidRPr="00C955AB">
        <w:rPr>
          <w:rFonts w:eastAsia="Georgia" w:hAnsi="Georgia" w:cs="Georgia"/>
          <w:color w:val="000000"/>
          <w:sz w:val="16"/>
          <w:szCs w:val="16"/>
          <w:lang w:eastAsia="zh-TW"/>
        </w:rPr>
        <w:t>銀行便利協議、借款清單、契約計算及擔保文件。</w:t>
      </w:r>
    </w:p>
    <w:p w14:paraId="3F1B42E2" w14:textId="77777777" w:rsidR="003B7339" w:rsidRPr="00C955AB" w:rsidRDefault="00D36216">
      <w:pPr>
        <w:numPr>
          <w:ilvl w:val="0"/>
          <w:numId w:val="6"/>
        </w:numPr>
        <w:spacing w:before="105" w:after="105" w:line="360" w:lineRule="auto"/>
        <w:rPr>
          <w:sz w:val="16"/>
          <w:szCs w:val="16"/>
          <w:lang w:eastAsia="zh-TW"/>
        </w:rPr>
      </w:pPr>
      <w:r w:rsidRPr="00C955AB">
        <w:rPr>
          <w:rFonts w:eastAsia="Georgia" w:hAnsi="Georgia" w:cs="Georgia"/>
          <w:color w:val="000000"/>
          <w:sz w:val="16"/>
          <w:szCs w:val="16"/>
          <w:lang w:eastAsia="zh-TW"/>
        </w:rPr>
        <w:t>固定資產登記、存貨時節、應收帳款時效、應付帳款時日及準備金表。</w:t>
      </w:r>
    </w:p>
    <w:p w14:paraId="13E1A129" w14:textId="23A981C2" w:rsidR="003B7339" w:rsidRPr="00C955AB" w:rsidRDefault="00D36216">
      <w:pPr>
        <w:numPr>
          <w:ilvl w:val="0"/>
          <w:numId w:val="6"/>
        </w:numPr>
        <w:spacing w:before="105" w:after="105" w:line="360" w:lineRule="auto"/>
        <w:rPr>
          <w:sz w:val="16"/>
          <w:szCs w:val="16"/>
          <w:lang w:eastAsia="zh-TW"/>
        </w:rPr>
      </w:pPr>
      <w:r w:rsidRPr="00C955AB">
        <w:rPr>
          <w:rFonts w:eastAsia="Georgia" w:hAnsi="Georgia" w:cs="Georgia"/>
          <w:color w:val="000000"/>
          <w:sz w:val="16"/>
          <w:szCs w:val="16"/>
          <w:lang w:eastAsia="zh-TW"/>
        </w:rPr>
        <w:t>預測、預算、董事會核准的商業計畫，以及管理假設。</w:t>
      </w:r>
    </w:p>
    <w:p w14:paraId="51F05931" w14:textId="7A530409" w:rsidR="003B7339" w:rsidRPr="00C955AB" w:rsidRDefault="00D36216" w:rsidP="009B44F1">
      <w:pPr>
        <w:spacing w:before="315" w:after="105" w:line="360" w:lineRule="auto"/>
        <w:rPr>
          <w:sz w:val="16"/>
          <w:szCs w:val="16"/>
          <w:lang w:eastAsia="zh-TW"/>
        </w:rPr>
      </w:pPr>
      <w:bookmarkStart w:id="7" w:name="accounting_and_reporting_matters"/>
      <w:r w:rsidRPr="00C955AB">
        <w:rPr>
          <w:rFonts w:eastAsia="Georgia" w:hAnsi="Georgia" w:cs="Georgia"/>
          <w:b/>
          <w:color w:val="000000"/>
          <w:sz w:val="16"/>
          <w:szCs w:val="16"/>
          <w:lang w:eastAsia="zh-TW"/>
        </w:rPr>
        <w:lastRenderedPageBreak/>
        <w:t>會計與報告事項</w:t>
      </w:r>
      <w:bookmarkEnd w:id="7"/>
    </w:p>
    <w:p w14:paraId="0C9A8897" w14:textId="38E0BAB8" w:rsidR="003B7339" w:rsidRPr="00B634D0" w:rsidRDefault="00B634D0">
      <w:pPr>
        <w:spacing w:after="210" w:line="360" w:lineRule="auto"/>
        <w:rPr>
          <w:i/>
          <w:iCs/>
          <w:sz w:val="16"/>
          <w:szCs w:val="16"/>
          <w:lang w:eastAsia="zh-TW"/>
        </w:rPr>
      </w:pPr>
      <w:r w:rsidRPr="00B634D0">
        <w:rPr>
          <w:rFonts w:eastAsia="Georgia" w:hAnsi="Georgia" w:cs="Georgia"/>
          <w:i/>
          <w:iCs/>
          <w:color w:val="000000"/>
          <w:sz w:val="16"/>
          <w:szCs w:val="16"/>
          <w:lang w:eastAsia="zh-TW"/>
        </w:rPr>
        <w:t>識別常見影響IPO準備度的報告缺口：</w:t>
      </w:r>
    </w:p>
    <w:p w14:paraId="1F76CFE4" w14:textId="77777777" w:rsidR="003B7339" w:rsidRPr="00C955AB" w:rsidRDefault="00D36216">
      <w:pPr>
        <w:numPr>
          <w:ilvl w:val="0"/>
          <w:numId w:val="7"/>
        </w:numPr>
        <w:spacing w:before="105" w:after="105" w:line="360" w:lineRule="auto"/>
        <w:rPr>
          <w:sz w:val="16"/>
          <w:szCs w:val="16"/>
          <w:lang w:eastAsia="zh-TW"/>
        </w:rPr>
      </w:pPr>
      <w:r w:rsidRPr="00C955AB">
        <w:rPr>
          <w:rFonts w:eastAsia="Georgia" w:hAnsi="Georgia" w:cs="Georgia"/>
          <w:color w:val="000000"/>
          <w:sz w:val="16"/>
          <w:szCs w:val="16"/>
          <w:lang w:eastAsia="zh-TW"/>
        </w:rPr>
        <w:t>適用的會計架構及報告變更的歷史。</w:t>
      </w:r>
    </w:p>
    <w:p w14:paraId="2C1218CC" w14:textId="55AF2B9F" w:rsidR="003B7339" w:rsidRPr="00C955AB" w:rsidRDefault="00D36216">
      <w:pPr>
        <w:numPr>
          <w:ilvl w:val="0"/>
          <w:numId w:val="7"/>
        </w:numPr>
        <w:spacing w:before="105" w:after="105" w:line="360" w:lineRule="auto"/>
        <w:rPr>
          <w:sz w:val="16"/>
          <w:szCs w:val="16"/>
          <w:lang w:eastAsia="zh-TW"/>
        </w:rPr>
      </w:pPr>
      <w:r w:rsidRPr="00C955AB">
        <w:rPr>
          <w:rFonts w:eastAsia="Georgia" w:hAnsi="Georgia" w:cs="Georgia"/>
          <w:color w:val="000000"/>
          <w:sz w:val="16"/>
          <w:szCs w:val="16"/>
          <w:lang w:eastAsia="zh-TW"/>
        </w:rPr>
        <w:t>會計政策及重要的判斷或估算。</w:t>
      </w:r>
    </w:p>
    <w:p w14:paraId="4D4E2213" w14:textId="77777777" w:rsidR="003B7339" w:rsidRPr="00C955AB" w:rsidRDefault="00D36216">
      <w:pPr>
        <w:numPr>
          <w:ilvl w:val="0"/>
          <w:numId w:val="7"/>
        </w:numPr>
        <w:spacing w:before="105" w:after="105" w:line="360" w:lineRule="auto"/>
        <w:rPr>
          <w:sz w:val="16"/>
          <w:szCs w:val="16"/>
          <w:lang w:eastAsia="zh-TW"/>
        </w:rPr>
      </w:pPr>
      <w:r w:rsidRPr="00C955AB">
        <w:rPr>
          <w:rFonts w:eastAsia="Georgia" w:hAnsi="Georgia" w:cs="Georgia"/>
          <w:color w:val="000000"/>
          <w:sz w:val="16"/>
          <w:szCs w:val="16"/>
          <w:lang w:eastAsia="zh-TW"/>
        </w:rPr>
        <w:t>先前的審計管理信函、控制觀察紀錄及整治狀態。</w:t>
      </w:r>
    </w:p>
    <w:p w14:paraId="497E162F" w14:textId="77777777" w:rsidR="003B7339" w:rsidRPr="00C955AB" w:rsidRDefault="00D36216">
      <w:pPr>
        <w:numPr>
          <w:ilvl w:val="0"/>
          <w:numId w:val="7"/>
        </w:numPr>
        <w:spacing w:before="105" w:after="105" w:line="360" w:lineRule="auto"/>
        <w:rPr>
          <w:sz w:val="16"/>
          <w:szCs w:val="16"/>
          <w:lang w:eastAsia="zh-TW"/>
        </w:rPr>
      </w:pPr>
      <w:r w:rsidRPr="00C955AB">
        <w:rPr>
          <w:rFonts w:eastAsia="Georgia" w:hAnsi="Georgia" w:cs="Georgia"/>
          <w:color w:val="000000"/>
          <w:sz w:val="16"/>
          <w:szCs w:val="16"/>
          <w:lang w:eastAsia="zh-TW"/>
        </w:rPr>
        <w:t>重述、前期調整、資格問題或未解決的技術會計事項的細節。</w:t>
      </w:r>
    </w:p>
    <w:p w14:paraId="0525D667" w14:textId="77777777" w:rsidR="003B7339" w:rsidRPr="00C955AB" w:rsidRDefault="00D36216">
      <w:pPr>
        <w:numPr>
          <w:ilvl w:val="0"/>
          <w:numId w:val="7"/>
        </w:numPr>
        <w:spacing w:before="105" w:after="105" w:line="360" w:lineRule="auto"/>
        <w:rPr>
          <w:sz w:val="16"/>
          <w:szCs w:val="16"/>
          <w:lang w:eastAsia="zh-TW"/>
        </w:rPr>
      </w:pPr>
      <w:r w:rsidRPr="00C955AB">
        <w:rPr>
          <w:rFonts w:eastAsia="Georgia" w:hAnsi="Georgia" w:cs="Georgia"/>
          <w:color w:val="000000"/>
          <w:sz w:val="16"/>
          <w:szCs w:val="16"/>
          <w:lang w:eastAsia="zh-TW"/>
        </w:rPr>
        <w:t>整合作業、跨公司消除流程及報告套件範本。</w:t>
      </w:r>
    </w:p>
    <w:p w14:paraId="179EF248" w14:textId="77777777" w:rsidR="003B7339" w:rsidRPr="00C955AB" w:rsidRDefault="00D36216">
      <w:pPr>
        <w:numPr>
          <w:ilvl w:val="0"/>
          <w:numId w:val="7"/>
        </w:numPr>
        <w:spacing w:before="105" w:after="105" w:line="360" w:lineRule="auto"/>
        <w:rPr>
          <w:sz w:val="16"/>
          <w:szCs w:val="16"/>
          <w:lang w:eastAsia="zh-TW"/>
        </w:rPr>
      </w:pPr>
      <w:r w:rsidRPr="00C955AB">
        <w:rPr>
          <w:rFonts w:eastAsia="Georgia" w:hAnsi="Georgia" w:cs="Georgia"/>
          <w:color w:val="000000"/>
          <w:sz w:val="16"/>
          <w:szCs w:val="16"/>
          <w:lang w:eastAsia="zh-TW"/>
        </w:rPr>
        <w:t>月底和年底的交割時間表與職責。</w:t>
      </w:r>
    </w:p>
    <w:p w14:paraId="47C164DC" w14:textId="5344E34A" w:rsidR="003B7339" w:rsidRPr="00C955AB" w:rsidRDefault="00D36216">
      <w:pPr>
        <w:numPr>
          <w:ilvl w:val="0"/>
          <w:numId w:val="7"/>
        </w:numPr>
        <w:spacing w:before="105" w:after="105" w:line="360" w:lineRule="auto"/>
        <w:rPr>
          <w:sz w:val="16"/>
          <w:szCs w:val="16"/>
          <w:lang w:eastAsia="zh-TW"/>
        </w:rPr>
      </w:pPr>
      <w:r w:rsidRPr="00C955AB">
        <w:rPr>
          <w:rFonts w:eastAsia="Georgia" w:hAnsi="Georgia" w:cs="Georgia"/>
          <w:color w:val="000000"/>
          <w:sz w:val="16"/>
          <w:szCs w:val="16"/>
          <w:lang w:eastAsia="zh-TW"/>
        </w:rPr>
        <w:t>準備財務資料、部門報告及上市公司揭露要求。</w:t>
      </w:r>
    </w:p>
    <w:p w14:paraId="6147284F" w14:textId="77777777" w:rsidR="003B7339" w:rsidRPr="00C955AB" w:rsidRDefault="00D36216">
      <w:pPr>
        <w:spacing w:before="315" w:after="105" w:line="360" w:lineRule="auto"/>
        <w:ind w:left="-30"/>
        <w:rPr>
          <w:sz w:val="16"/>
          <w:szCs w:val="16"/>
          <w:lang w:eastAsia="zh-TW"/>
        </w:rPr>
      </w:pPr>
      <w:bookmarkStart w:id="8" w:name="tax_matters"/>
      <w:r w:rsidRPr="00C955AB">
        <w:rPr>
          <w:rFonts w:eastAsia="Georgia" w:hAnsi="Georgia" w:cs="Georgia"/>
          <w:b/>
          <w:color w:val="000000"/>
          <w:sz w:val="16"/>
          <w:szCs w:val="16"/>
          <w:lang w:eastAsia="zh-TW"/>
        </w:rPr>
        <w:t>稅務事務</w:t>
      </w:r>
      <w:bookmarkEnd w:id="8"/>
    </w:p>
    <w:p w14:paraId="01E2371E" w14:textId="51154C13" w:rsidR="003B7339" w:rsidRPr="00B634D0" w:rsidRDefault="00B634D0">
      <w:pPr>
        <w:spacing w:after="210" w:line="360" w:lineRule="auto"/>
        <w:rPr>
          <w:i/>
          <w:iCs/>
          <w:sz w:val="16"/>
          <w:szCs w:val="16"/>
          <w:lang w:eastAsia="zh-TW"/>
        </w:rPr>
      </w:pPr>
      <w:r w:rsidRPr="00B634D0">
        <w:rPr>
          <w:rFonts w:eastAsia="Georgia" w:hAnsi="Georgia" w:cs="Georgia"/>
          <w:i/>
          <w:iCs/>
          <w:color w:val="000000"/>
          <w:sz w:val="16"/>
          <w:szCs w:val="16"/>
          <w:lang w:eastAsia="zh-TW"/>
        </w:rPr>
        <w:t>稅務紀錄應盡早處理，因為稅務重組與風險審查常影響時間表與清單結構：</w:t>
      </w:r>
    </w:p>
    <w:p w14:paraId="5E693A43" w14:textId="77777777" w:rsidR="003B7339" w:rsidRPr="00C955AB" w:rsidRDefault="00D36216">
      <w:pPr>
        <w:numPr>
          <w:ilvl w:val="0"/>
          <w:numId w:val="8"/>
        </w:numPr>
        <w:spacing w:before="105" w:after="105" w:line="360" w:lineRule="auto"/>
        <w:rPr>
          <w:sz w:val="16"/>
          <w:szCs w:val="16"/>
          <w:lang w:eastAsia="zh-TW"/>
        </w:rPr>
      </w:pPr>
      <w:r w:rsidRPr="00C955AB">
        <w:rPr>
          <w:rFonts w:eastAsia="Georgia" w:hAnsi="Georgia" w:cs="Georgia"/>
          <w:color w:val="000000"/>
          <w:sz w:val="16"/>
          <w:szCs w:val="16"/>
          <w:lang w:eastAsia="zh-TW"/>
        </w:rPr>
        <w:t>涵蓋所有主要司法管轄區的報稅資料，包括利潤稅、公司所得稅、增值稅/GST、薪資稅及預扣稅。</w:t>
      </w:r>
    </w:p>
    <w:p w14:paraId="05ECF74F" w14:textId="77777777" w:rsidR="003B7339" w:rsidRPr="00C955AB" w:rsidRDefault="00D36216">
      <w:pPr>
        <w:numPr>
          <w:ilvl w:val="0"/>
          <w:numId w:val="8"/>
        </w:numPr>
        <w:spacing w:before="105" w:after="105" w:line="360" w:lineRule="auto"/>
        <w:rPr>
          <w:sz w:val="16"/>
          <w:szCs w:val="16"/>
          <w:lang w:eastAsia="zh-TW"/>
        </w:rPr>
      </w:pPr>
      <w:r w:rsidRPr="00C955AB">
        <w:rPr>
          <w:rFonts w:eastAsia="Georgia" w:hAnsi="Georgia" w:cs="Georgia"/>
          <w:color w:val="000000"/>
          <w:sz w:val="16"/>
          <w:szCs w:val="16"/>
          <w:lang w:eastAsia="zh-TW"/>
        </w:rPr>
        <w:t>稅務計算、評估、與稅務機關的函件，以及未決的審計或爭議。</w:t>
      </w:r>
    </w:p>
    <w:p w14:paraId="6ED84971" w14:textId="77777777" w:rsidR="003B7339" w:rsidRPr="00C955AB" w:rsidRDefault="00D36216">
      <w:pPr>
        <w:numPr>
          <w:ilvl w:val="0"/>
          <w:numId w:val="8"/>
        </w:numPr>
        <w:spacing w:before="105" w:after="105" w:line="360" w:lineRule="auto"/>
        <w:rPr>
          <w:sz w:val="16"/>
          <w:szCs w:val="16"/>
          <w:lang w:eastAsia="zh-TW"/>
        </w:rPr>
      </w:pPr>
      <w:r w:rsidRPr="00C955AB">
        <w:rPr>
          <w:rFonts w:eastAsia="Georgia" w:hAnsi="Georgia" w:cs="Georgia"/>
          <w:color w:val="000000"/>
          <w:sz w:val="16"/>
          <w:szCs w:val="16"/>
          <w:lang w:eastAsia="zh-TW"/>
        </w:rPr>
        <w:t>稅務優惠、結轉虧損、遞延稅款及轉讓定價政策的詳細資訊。</w:t>
      </w:r>
    </w:p>
    <w:p w14:paraId="7A8679A5" w14:textId="77777777" w:rsidR="003B7339" w:rsidRPr="00C955AB" w:rsidRDefault="00D36216">
      <w:pPr>
        <w:numPr>
          <w:ilvl w:val="0"/>
          <w:numId w:val="8"/>
        </w:numPr>
        <w:spacing w:before="105" w:after="105" w:line="360" w:lineRule="auto"/>
        <w:rPr>
          <w:sz w:val="16"/>
          <w:szCs w:val="16"/>
          <w:lang w:eastAsia="zh-TW"/>
        </w:rPr>
      </w:pPr>
      <w:r w:rsidRPr="00C955AB">
        <w:rPr>
          <w:rFonts w:eastAsia="Georgia" w:hAnsi="Georgia" w:cs="Georgia"/>
          <w:color w:val="000000"/>
          <w:sz w:val="16"/>
          <w:szCs w:val="16"/>
          <w:lang w:eastAsia="zh-TW"/>
        </w:rPr>
        <w:t>公司間服務安排、權利金安排、融資流及管理費用。</w:t>
      </w:r>
    </w:p>
    <w:p w14:paraId="13F5AA0D" w14:textId="384D4B38" w:rsidR="003B7339" w:rsidRPr="00C955AB" w:rsidRDefault="00D36216">
      <w:pPr>
        <w:numPr>
          <w:ilvl w:val="0"/>
          <w:numId w:val="8"/>
        </w:numPr>
        <w:spacing w:before="105" w:after="105" w:line="360" w:lineRule="auto"/>
        <w:rPr>
          <w:sz w:val="16"/>
          <w:szCs w:val="16"/>
          <w:lang w:eastAsia="zh-TW"/>
        </w:rPr>
      </w:pPr>
      <w:r w:rsidRPr="00C955AB">
        <w:rPr>
          <w:rFonts w:eastAsia="Georgia" w:hAnsi="Georgia" w:cs="Georgia"/>
          <w:color w:val="000000"/>
          <w:sz w:val="16"/>
          <w:szCs w:val="16"/>
          <w:lang w:eastAsia="zh-TW"/>
        </w:rPr>
        <w:t>任何已知的歷史稅務風險、不確定的稅務狀況或與重組相關的稅務風險。</w:t>
      </w:r>
    </w:p>
    <w:p w14:paraId="528978FB" w14:textId="77777777" w:rsidR="003B7339" w:rsidRPr="00C955AB" w:rsidRDefault="00D36216">
      <w:pPr>
        <w:spacing w:before="315" w:after="105" w:line="360" w:lineRule="auto"/>
        <w:ind w:left="-30"/>
        <w:rPr>
          <w:sz w:val="16"/>
          <w:szCs w:val="16"/>
          <w:lang w:eastAsia="zh-TW"/>
        </w:rPr>
      </w:pPr>
      <w:bookmarkStart w:id="9" w:name="legal_and_regulatory_documents"/>
      <w:r w:rsidRPr="00C955AB">
        <w:rPr>
          <w:rFonts w:eastAsia="Georgia" w:hAnsi="Georgia" w:cs="Georgia"/>
          <w:b/>
          <w:color w:val="000000"/>
          <w:sz w:val="16"/>
          <w:szCs w:val="16"/>
          <w:lang w:eastAsia="zh-TW"/>
        </w:rPr>
        <w:t>法律與監管文件</w:t>
      </w:r>
      <w:bookmarkEnd w:id="9"/>
    </w:p>
    <w:p w14:paraId="7EF3213A" w14:textId="59577521" w:rsidR="003B7339" w:rsidRPr="00B634D0" w:rsidRDefault="00B634D0">
      <w:pPr>
        <w:spacing w:after="210" w:line="360" w:lineRule="auto"/>
        <w:rPr>
          <w:i/>
          <w:iCs/>
          <w:sz w:val="16"/>
          <w:szCs w:val="16"/>
          <w:lang w:eastAsia="zh-TW"/>
        </w:rPr>
      </w:pPr>
      <w:r w:rsidRPr="00B634D0">
        <w:rPr>
          <w:rFonts w:eastAsia="Georgia" w:hAnsi="Georgia" w:cs="Georgia"/>
          <w:i/>
          <w:iCs/>
          <w:color w:val="000000"/>
          <w:sz w:val="16"/>
          <w:szCs w:val="16"/>
          <w:lang w:eastAsia="zh-TW"/>
        </w:rPr>
        <w:t>支持法律盡職調查及招股說明書揭露起草的核心法律包：</w:t>
      </w:r>
    </w:p>
    <w:p w14:paraId="504EAB6D" w14:textId="77777777" w:rsidR="003B7339" w:rsidRPr="00C955AB" w:rsidRDefault="00D36216">
      <w:pPr>
        <w:numPr>
          <w:ilvl w:val="0"/>
          <w:numId w:val="9"/>
        </w:numPr>
        <w:spacing w:before="105" w:after="105" w:line="360" w:lineRule="auto"/>
        <w:rPr>
          <w:sz w:val="16"/>
          <w:szCs w:val="16"/>
          <w:lang w:eastAsia="zh-TW"/>
        </w:rPr>
      </w:pPr>
      <w:r w:rsidRPr="00C955AB">
        <w:rPr>
          <w:rFonts w:eastAsia="Georgia" w:hAnsi="Georgia" w:cs="Georgia"/>
          <w:color w:val="000000"/>
          <w:sz w:val="16"/>
          <w:szCs w:val="16"/>
          <w:lang w:eastAsia="zh-TW"/>
        </w:rPr>
        <w:t>包括重大客戶合約、供應商合約、分銷協議及框架協議。</w:t>
      </w:r>
    </w:p>
    <w:p w14:paraId="75134A17" w14:textId="77777777" w:rsidR="003B7339" w:rsidRPr="00C955AB" w:rsidRDefault="00D36216">
      <w:pPr>
        <w:numPr>
          <w:ilvl w:val="0"/>
          <w:numId w:val="9"/>
        </w:numPr>
        <w:spacing w:before="105" w:after="105" w:line="360" w:lineRule="auto"/>
        <w:rPr>
          <w:sz w:val="16"/>
          <w:szCs w:val="16"/>
          <w:lang w:eastAsia="zh-TW"/>
        </w:rPr>
      </w:pPr>
      <w:r w:rsidRPr="00C955AB">
        <w:rPr>
          <w:rFonts w:eastAsia="Georgia" w:hAnsi="Georgia" w:cs="Georgia"/>
          <w:color w:val="000000"/>
          <w:sz w:val="16"/>
          <w:szCs w:val="16"/>
          <w:lang w:eastAsia="zh-TW"/>
        </w:rPr>
        <w:t>貸款協議、擔保文件、擔保、賠償及資產負債表外安排。</w:t>
      </w:r>
    </w:p>
    <w:p w14:paraId="000E37DD" w14:textId="77777777" w:rsidR="003B7339" w:rsidRPr="00C955AB" w:rsidRDefault="00D36216">
      <w:pPr>
        <w:numPr>
          <w:ilvl w:val="0"/>
          <w:numId w:val="9"/>
        </w:numPr>
        <w:spacing w:before="105" w:after="105" w:line="360" w:lineRule="auto"/>
        <w:rPr>
          <w:sz w:val="16"/>
          <w:szCs w:val="16"/>
          <w:lang w:eastAsia="zh-TW"/>
        </w:rPr>
      </w:pPr>
      <w:r w:rsidRPr="00C955AB">
        <w:rPr>
          <w:rFonts w:eastAsia="Georgia" w:hAnsi="Georgia" w:cs="Georgia"/>
          <w:color w:val="000000"/>
          <w:sz w:val="16"/>
          <w:szCs w:val="16"/>
          <w:lang w:eastAsia="zh-TW"/>
        </w:rPr>
        <w:t>辦公室、工廠、倉庫及員工住宿的租賃合約。</w:t>
      </w:r>
    </w:p>
    <w:p w14:paraId="3C81D527" w14:textId="77777777" w:rsidR="003B7339" w:rsidRPr="00C955AB" w:rsidRDefault="00D36216">
      <w:pPr>
        <w:numPr>
          <w:ilvl w:val="0"/>
          <w:numId w:val="9"/>
        </w:numPr>
        <w:spacing w:before="105" w:after="105" w:line="360" w:lineRule="auto"/>
        <w:rPr>
          <w:sz w:val="16"/>
          <w:szCs w:val="16"/>
          <w:lang w:eastAsia="zh-TW"/>
        </w:rPr>
      </w:pPr>
      <w:r w:rsidRPr="00C955AB">
        <w:rPr>
          <w:rFonts w:eastAsia="Georgia" w:hAnsi="Georgia" w:cs="Georgia"/>
          <w:color w:val="000000"/>
          <w:sz w:val="16"/>
          <w:szCs w:val="16"/>
          <w:lang w:eastAsia="zh-TW"/>
        </w:rPr>
        <w:t>主要的執照、許可、核准、認證及合規紀錄。</w:t>
      </w:r>
    </w:p>
    <w:p w14:paraId="5BDB1807" w14:textId="77777777" w:rsidR="003B7339" w:rsidRPr="00C955AB" w:rsidRDefault="00D36216">
      <w:pPr>
        <w:numPr>
          <w:ilvl w:val="0"/>
          <w:numId w:val="9"/>
        </w:numPr>
        <w:spacing w:before="105" w:after="105" w:line="360" w:lineRule="auto"/>
        <w:rPr>
          <w:sz w:val="16"/>
          <w:szCs w:val="16"/>
          <w:lang w:eastAsia="zh-TW"/>
        </w:rPr>
      </w:pPr>
      <w:r w:rsidRPr="00C955AB">
        <w:rPr>
          <w:rFonts w:eastAsia="Georgia" w:hAnsi="Georgia" w:cs="Georgia"/>
          <w:color w:val="000000"/>
          <w:sz w:val="16"/>
          <w:szCs w:val="16"/>
          <w:lang w:eastAsia="zh-TW"/>
        </w:rPr>
        <w:t>訴訟、仲裁、調查、申訴、索賠及和解文件。</w:t>
      </w:r>
    </w:p>
    <w:p w14:paraId="7F35AA5E" w14:textId="77777777" w:rsidR="003B7339" w:rsidRPr="00C955AB" w:rsidRDefault="00D36216">
      <w:pPr>
        <w:numPr>
          <w:ilvl w:val="0"/>
          <w:numId w:val="9"/>
        </w:numPr>
        <w:spacing w:before="105" w:after="105" w:line="360" w:lineRule="auto"/>
        <w:rPr>
          <w:sz w:val="16"/>
          <w:szCs w:val="16"/>
        </w:rPr>
      </w:pPr>
      <w:proofErr w:type="spellStart"/>
      <w:r w:rsidRPr="00C955AB">
        <w:rPr>
          <w:rFonts w:eastAsia="Georgia" w:hAnsi="Georgia" w:cs="Georgia"/>
          <w:color w:val="000000"/>
          <w:sz w:val="16"/>
          <w:szCs w:val="16"/>
        </w:rPr>
        <w:t>保險政策與理賠紀錄</w:t>
      </w:r>
      <w:proofErr w:type="spellEnd"/>
      <w:r w:rsidRPr="00C955AB">
        <w:rPr>
          <w:rFonts w:eastAsia="Georgia" w:hAnsi="Georgia" w:cs="Georgia"/>
          <w:color w:val="000000"/>
          <w:sz w:val="16"/>
          <w:szCs w:val="16"/>
        </w:rPr>
        <w:t>。</w:t>
      </w:r>
    </w:p>
    <w:p w14:paraId="48D5D295" w14:textId="5139E936" w:rsidR="003B7339" w:rsidRPr="00C955AB" w:rsidRDefault="00D36216">
      <w:pPr>
        <w:numPr>
          <w:ilvl w:val="0"/>
          <w:numId w:val="9"/>
        </w:numPr>
        <w:spacing w:before="105" w:after="105" w:line="360" w:lineRule="auto"/>
        <w:rPr>
          <w:sz w:val="16"/>
          <w:szCs w:val="16"/>
          <w:lang w:eastAsia="zh-TW"/>
        </w:rPr>
      </w:pPr>
      <w:r w:rsidRPr="00C955AB">
        <w:rPr>
          <w:rFonts w:eastAsia="Georgia" w:hAnsi="Georgia" w:cs="Georgia"/>
          <w:color w:val="000000"/>
          <w:sz w:val="16"/>
          <w:szCs w:val="16"/>
          <w:lang w:eastAsia="zh-TW"/>
        </w:rPr>
        <w:t>財產清單，包括商標、專利、著作權、網域名稱、軟體授權及所有權證據。</w:t>
      </w:r>
    </w:p>
    <w:p w14:paraId="4DFC7079" w14:textId="6DD501CB" w:rsidR="003B7339" w:rsidRPr="00C955AB" w:rsidRDefault="00D36216">
      <w:pPr>
        <w:numPr>
          <w:ilvl w:val="0"/>
          <w:numId w:val="9"/>
        </w:numPr>
        <w:spacing w:before="105" w:after="105" w:line="360" w:lineRule="auto"/>
        <w:rPr>
          <w:sz w:val="16"/>
          <w:szCs w:val="16"/>
          <w:lang w:eastAsia="zh-TW"/>
        </w:rPr>
      </w:pPr>
      <w:r w:rsidRPr="00C955AB">
        <w:rPr>
          <w:rFonts w:eastAsia="Georgia" w:hAnsi="Georgia" w:cs="Georgia"/>
          <w:color w:val="000000"/>
          <w:sz w:val="16"/>
          <w:szCs w:val="16"/>
          <w:lang w:eastAsia="zh-TW"/>
        </w:rPr>
        <w:t>資料隱私、網路安全及相關法規合規政策。</w:t>
      </w:r>
    </w:p>
    <w:p w14:paraId="27DC4583" w14:textId="77777777" w:rsidR="00F3024D" w:rsidRDefault="00F3024D">
      <w:pPr>
        <w:spacing w:before="315" w:after="105" w:line="360" w:lineRule="auto"/>
        <w:ind w:left="-30"/>
        <w:rPr>
          <w:rFonts w:eastAsia="Georgia" w:hAnsi="Georgia" w:cs="Georgia"/>
          <w:b/>
          <w:color w:val="000000"/>
          <w:sz w:val="16"/>
          <w:szCs w:val="16"/>
          <w:lang w:eastAsia="zh-TW"/>
        </w:rPr>
      </w:pPr>
      <w:bookmarkStart w:id="10" w:name="related_parties_and_connected_matters"/>
    </w:p>
    <w:p w14:paraId="29E7997C" w14:textId="77777777" w:rsidR="00F3024D" w:rsidRDefault="00F3024D">
      <w:pPr>
        <w:spacing w:before="315" w:after="105" w:line="360" w:lineRule="auto"/>
        <w:ind w:left="-30"/>
        <w:rPr>
          <w:rFonts w:eastAsia="Georgia" w:hAnsi="Georgia" w:cs="Georgia"/>
          <w:b/>
          <w:color w:val="000000"/>
          <w:sz w:val="16"/>
          <w:szCs w:val="16"/>
          <w:lang w:eastAsia="zh-TW"/>
        </w:rPr>
      </w:pPr>
    </w:p>
    <w:p w14:paraId="2832FEBA" w14:textId="77777777" w:rsidR="00F3024D" w:rsidRDefault="00F3024D">
      <w:pPr>
        <w:spacing w:before="315" w:after="105" w:line="360" w:lineRule="auto"/>
        <w:ind w:left="-30"/>
        <w:rPr>
          <w:rFonts w:eastAsia="Georgia" w:hAnsi="Georgia" w:cs="Georgia"/>
          <w:b/>
          <w:color w:val="000000"/>
          <w:sz w:val="16"/>
          <w:szCs w:val="16"/>
          <w:lang w:eastAsia="zh-TW"/>
        </w:rPr>
      </w:pPr>
    </w:p>
    <w:p w14:paraId="6873C3B2" w14:textId="34F7F9B2" w:rsidR="003B7339" w:rsidRPr="00C955AB" w:rsidRDefault="00D36216">
      <w:pPr>
        <w:spacing w:before="315" w:after="105" w:line="360" w:lineRule="auto"/>
        <w:ind w:left="-30"/>
        <w:rPr>
          <w:sz w:val="16"/>
          <w:szCs w:val="16"/>
          <w:lang w:eastAsia="zh-TW"/>
        </w:rPr>
      </w:pPr>
      <w:r w:rsidRPr="00C955AB">
        <w:rPr>
          <w:rFonts w:eastAsia="Georgia" w:hAnsi="Georgia" w:cs="Georgia"/>
          <w:b/>
          <w:color w:val="000000"/>
          <w:sz w:val="16"/>
          <w:szCs w:val="16"/>
          <w:lang w:eastAsia="zh-TW"/>
        </w:rPr>
        <w:lastRenderedPageBreak/>
        <w:t>相關當事人及相關事項</w:t>
      </w:r>
      <w:bookmarkEnd w:id="10"/>
    </w:p>
    <w:p w14:paraId="3C277987" w14:textId="18B08066" w:rsidR="003B7339" w:rsidRPr="00C66587" w:rsidRDefault="00B634D0">
      <w:pPr>
        <w:spacing w:after="210" w:line="360" w:lineRule="auto"/>
        <w:rPr>
          <w:i/>
          <w:iCs/>
          <w:sz w:val="16"/>
          <w:szCs w:val="16"/>
          <w:lang w:eastAsia="zh-TW"/>
        </w:rPr>
      </w:pPr>
      <w:r w:rsidRPr="00C66587">
        <w:rPr>
          <w:rFonts w:eastAsia="Georgia" w:hAnsi="Georgia" w:cs="Georgia"/>
          <w:i/>
          <w:iCs/>
          <w:color w:val="000000"/>
          <w:sz w:val="16"/>
          <w:szCs w:val="16"/>
          <w:lang w:eastAsia="zh-TW"/>
        </w:rPr>
        <w:t>相關當事人安排在登記工作中受到嚴格審查：</w:t>
      </w:r>
    </w:p>
    <w:p w14:paraId="516DFF2B" w14:textId="77777777" w:rsidR="003B7339" w:rsidRPr="00C955AB" w:rsidRDefault="00D36216">
      <w:pPr>
        <w:numPr>
          <w:ilvl w:val="0"/>
          <w:numId w:val="10"/>
        </w:numPr>
        <w:spacing w:before="105" w:after="105" w:line="360" w:lineRule="auto"/>
        <w:rPr>
          <w:sz w:val="16"/>
          <w:szCs w:val="16"/>
          <w:lang w:eastAsia="zh-TW"/>
        </w:rPr>
      </w:pPr>
      <w:r w:rsidRPr="00C955AB">
        <w:rPr>
          <w:rFonts w:eastAsia="Georgia" w:hAnsi="Georgia" w:cs="Georgia"/>
          <w:color w:val="000000"/>
          <w:sz w:val="16"/>
          <w:szCs w:val="16"/>
          <w:lang w:eastAsia="zh-TW"/>
        </w:rPr>
        <w:t>完整董事名單、主要管理層、創辦人、主要股東及其相關實體。</w:t>
      </w:r>
    </w:p>
    <w:p w14:paraId="03E2E745" w14:textId="77777777" w:rsidR="003B7339" w:rsidRPr="00C955AB" w:rsidRDefault="00D36216">
      <w:pPr>
        <w:numPr>
          <w:ilvl w:val="0"/>
          <w:numId w:val="10"/>
        </w:numPr>
        <w:spacing w:before="105" w:after="105" w:line="360" w:lineRule="auto"/>
        <w:rPr>
          <w:sz w:val="16"/>
          <w:szCs w:val="16"/>
          <w:lang w:eastAsia="zh-TW"/>
        </w:rPr>
      </w:pPr>
      <w:r w:rsidRPr="00C955AB">
        <w:rPr>
          <w:rFonts w:eastAsia="Georgia" w:hAnsi="Georgia" w:cs="Georgia"/>
          <w:color w:val="000000"/>
          <w:sz w:val="16"/>
          <w:szCs w:val="16"/>
          <w:lang w:eastAsia="zh-TW"/>
        </w:rPr>
        <w:t>歷史紀錄期間的相關方交易時程。</w:t>
      </w:r>
    </w:p>
    <w:p w14:paraId="32CF02F5" w14:textId="77777777" w:rsidR="003B7339" w:rsidRPr="00C955AB" w:rsidRDefault="00D36216">
      <w:pPr>
        <w:numPr>
          <w:ilvl w:val="0"/>
          <w:numId w:val="10"/>
        </w:numPr>
        <w:spacing w:before="105" w:after="105" w:line="360" w:lineRule="auto"/>
        <w:rPr>
          <w:sz w:val="16"/>
          <w:szCs w:val="16"/>
          <w:lang w:eastAsia="zh-TW"/>
        </w:rPr>
      </w:pPr>
      <w:r w:rsidRPr="00C955AB">
        <w:rPr>
          <w:rFonts w:eastAsia="Georgia" w:hAnsi="Georgia" w:cs="Georgia"/>
          <w:color w:val="000000"/>
          <w:sz w:val="16"/>
          <w:szCs w:val="16"/>
          <w:lang w:eastAsia="zh-TW"/>
        </w:rPr>
        <w:t>未清餘額、貸款、擔保、質押及非公平交易安排。</w:t>
      </w:r>
    </w:p>
    <w:p w14:paraId="4AB13005" w14:textId="77777777" w:rsidR="003B7339" w:rsidRPr="00C955AB" w:rsidRDefault="00D36216">
      <w:pPr>
        <w:numPr>
          <w:ilvl w:val="0"/>
          <w:numId w:val="10"/>
        </w:numPr>
        <w:spacing w:before="105" w:after="105" w:line="360" w:lineRule="auto"/>
        <w:rPr>
          <w:sz w:val="16"/>
          <w:szCs w:val="16"/>
          <w:lang w:eastAsia="zh-TW"/>
        </w:rPr>
      </w:pPr>
      <w:r w:rsidRPr="00C955AB">
        <w:rPr>
          <w:rFonts w:eastAsia="Georgia" w:hAnsi="Georgia" w:cs="Georgia"/>
          <w:color w:val="000000"/>
          <w:sz w:val="16"/>
          <w:szCs w:val="16"/>
          <w:lang w:eastAsia="zh-TW"/>
        </w:rPr>
        <w:t>現有的持續連通交易或反覆發生的關聯方安排。</w:t>
      </w:r>
    </w:p>
    <w:p w14:paraId="0A8C0071" w14:textId="3EA7E859" w:rsidR="003B7339" w:rsidRPr="00C955AB" w:rsidRDefault="00D36216">
      <w:pPr>
        <w:numPr>
          <w:ilvl w:val="0"/>
          <w:numId w:val="10"/>
        </w:numPr>
        <w:spacing w:before="105" w:after="105" w:line="360" w:lineRule="auto"/>
        <w:rPr>
          <w:sz w:val="16"/>
          <w:szCs w:val="16"/>
        </w:rPr>
      </w:pPr>
      <w:proofErr w:type="spellStart"/>
      <w:r w:rsidRPr="00C955AB">
        <w:rPr>
          <w:rFonts w:eastAsia="Georgia" w:hAnsi="Georgia" w:cs="Georgia"/>
          <w:color w:val="000000"/>
          <w:sz w:val="16"/>
          <w:szCs w:val="16"/>
        </w:rPr>
        <w:t>上市前的清理建議</w:t>
      </w:r>
      <w:proofErr w:type="spellEnd"/>
      <w:r w:rsidRPr="00C955AB">
        <w:rPr>
          <w:rFonts w:eastAsia="Georgia" w:hAnsi="Georgia" w:cs="Georgia"/>
          <w:color w:val="000000"/>
          <w:sz w:val="16"/>
          <w:szCs w:val="16"/>
        </w:rPr>
        <w:t>。</w:t>
      </w:r>
    </w:p>
    <w:p w14:paraId="37F9B39C" w14:textId="77777777" w:rsidR="003B7339" w:rsidRPr="00C955AB" w:rsidRDefault="00D36216">
      <w:pPr>
        <w:spacing w:before="315" w:after="105" w:line="360" w:lineRule="auto"/>
        <w:ind w:left="-30"/>
        <w:rPr>
          <w:sz w:val="16"/>
          <w:szCs w:val="16"/>
        </w:rPr>
      </w:pPr>
      <w:bookmarkStart w:id="11" w:name="human_resources_and_management"/>
      <w:r w:rsidRPr="00C955AB">
        <w:rPr>
          <w:rFonts w:eastAsia="Georgia" w:hAnsi="Georgia" w:cs="Georgia"/>
          <w:b/>
          <w:color w:val="000000"/>
          <w:sz w:val="16"/>
          <w:szCs w:val="16"/>
        </w:rPr>
        <w:t>人力資源與管理</w:t>
      </w:r>
      <w:bookmarkEnd w:id="11"/>
    </w:p>
    <w:p w14:paraId="016C493C" w14:textId="18245287" w:rsidR="003B7339" w:rsidRPr="00B634D0" w:rsidRDefault="00B634D0">
      <w:pPr>
        <w:spacing w:after="210" w:line="360" w:lineRule="auto"/>
        <w:rPr>
          <w:i/>
          <w:iCs/>
          <w:sz w:val="16"/>
          <w:szCs w:val="16"/>
          <w:lang w:eastAsia="zh-TW"/>
        </w:rPr>
      </w:pPr>
      <w:r w:rsidRPr="00B634D0">
        <w:rPr>
          <w:rFonts w:eastAsia="Georgia" w:hAnsi="Georgia" w:cs="Georgia"/>
          <w:i/>
          <w:iCs/>
          <w:color w:val="000000"/>
          <w:sz w:val="16"/>
          <w:szCs w:val="16"/>
          <w:lang w:eastAsia="zh-TW"/>
        </w:rPr>
        <w:t>評估管理持續性、合規性及獎勵安排的資訊：</w:t>
      </w:r>
    </w:p>
    <w:p w14:paraId="324222F1" w14:textId="77777777" w:rsidR="003B7339" w:rsidRPr="00C955AB" w:rsidRDefault="00D36216">
      <w:pPr>
        <w:numPr>
          <w:ilvl w:val="0"/>
          <w:numId w:val="11"/>
        </w:numPr>
        <w:spacing w:before="105" w:after="105" w:line="360" w:lineRule="auto"/>
        <w:rPr>
          <w:sz w:val="16"/>
          <w:szCs w:val="16"/>
          <w:lang w:eastAsia="zh-TW"/>
        </w:rPr>
      </w:pPr>
      <w:r w:rsidRPr="00C955AB">
        <w:rPr>
          <w:rFonts w:eastAsia="Georgia" w:hAnsi="Georgia" w:cs="Georgia"/>
          <w:color w:val="000000"/>
          <w:sz w:val="16"/>
          <w:szCs w:val="16"/>
          <w:lang w:eastAsia="zh-TW"/>
        </w:rPr>
        <w:t>依職能、實體及管轄區編制組織架構與編制。</w:t>
      </w:r>
    </w:p>
    <w:p w14:paraId="2E434E78" w14:textId="77777777" w:rsidR="003B7339" w:rsidRPr="00C955AB" w:rsidRDefault="00D36216">
      <w:pPr>
        <w:numPr>
          <w:ilvl w:val="0"/>
          <w:numId w:val="11"/>
        </w:numPr>
        <w:spacing w:before="105" w:after="105" w:line="360" w:lineRule="auto"/>
        <w:rPr>
          <w:sz w:val="16"/>
          <w:szCs w:val="16"/>
          <w:lang w:eastAsia="zh-TW"/>
        </w:rPr>
      </w:pPr>
      <w:r w:rsidRPr="00C955AB">
        <w:rPr>
          <w:rFonts w:eastAsia="Georgia" w:hAnsi="Georgia" w:cs="Georgia"/>
          <w:color w:val="000000"/>
          <w:sz w:val="16"/>
          <w:szCs w:val="16"/>
          <w:lang w:eastAsia="zh-TW"/>
        </w:rPr>
        <w:t>董事、高階管理人員及關鍵技術人員的個人檔案與履歷。</w:t>
      </w:r>
    </w:p>
    <w:p w14:paraId="67262B8B" w14:textId="77777777" w:rsidR="003B7339" w:rsidRPr="00C955AB" w:rsidRDefault="00D36216">
      <w:pPr>
        <w:numPr>
          <w:ilvl w:val="0"/>
          <w:numId w:val="11"/>
        </w:numPr>
        <w:spacing w:before="105" w:after="105" w:line="360" w:lineRule="auto"/>
        <w:rPr>
          <w:sz w:val="16"/>
          <w:szCs w:val="16"/>
          <w:lang w:eastAsia="zh-TW"/>
        </w:rPr>
      </w:pPr>
      <w:r w:rsidRPr="00C955AB">
        <w:rPr>
          <w:rFonts w:eastAsia="Georgia" w:hAnsi="Georgia" w:cs="Georgia"/>
          <w:color w:val="000000"/>
          <w:sz w:val="16"/>
          <w:szCs w:val="16"/>
          <w:lang w:eastAsia="zh-TW"/>
        </w:rPr>
        <w:t>關鍵員工的聘用合約、服務協議、保密協議及競業禁止安排。</w:t>
      </w:r>
    </w:p>
    <w:p w14:paraId="3E6162CD" w14:textId="77777777" w:rsidR="003B7339" w:rsidRPr="00C955AB" w:rsidRDefault="00D36216">
      <w:pPr>
        <w:numPr>
          <w:ilvl w:val="0"/>
          <w:numId w:val="11"/>
        </w:numPr>
        <w:spacing w:before="105" w:after="105" w:line="360" w:lineRule="auto"/>
        <w:rPr>
          <w:sz w:val="16"/>
          <w:szCs w:val="16"/>
          <w:lang w:eastAsia="zh-TW"/>
        </w:rPr>
      </w:pPr>
      <w:r w:rsidRPr="00C955AB">
        <w:rPr>
          <w:rFonts w:eastAsia="Georgia" w:hAnsi="Georgia" w:cs="Georgia"/>
          <w:color w:val="000000"/>
          <w:sz w:val="16"/>
          <w:szCs w:val="16"/>
          <w:lang w:eastAsia="zh-TW"/>
        </w:rPr>
        <w:t>員工手冊、人資政策、薪酬結構、獎金計畫及佣金計畫。</w:t>
      </w:r>
    </w:p>
    <w:p w14:paraId="391838D3" w14:textId="77777777" w:rsidR="003B7339" w:rsidRPr="00C955AB" w:rsidRDefault="00D36216">
      <w:pPr>
        <w:numPr>
          <w:ilvl w:val="0"/>
          <w:numId w:val="11"/>
        </w:numPr>
        <w:spacing w:before="105" w:after="105" w:line="360" w:lineRule="auto"/>
        <w:rPr>
          <w:sz w:val="16"/>
          <w:szCs w:val="16"/>
          <w:lang w:eastAsia="zh-TW"/>
        </w:rPr>
      </w:pPr>
      <w:r w:rsidRPr="00C955AB">
        <w:rPr>
          <w:rFonts w:eastAsia="Georgia" w:hAnsi="Georgia" w:cs="Georgia"/>
          <w:color w:val="000000"/>
          <w:sz w:val="16"/>
          <w:szCs w:val="16"/>
          <w:lang w:eastAsia="zh-TW"/>
        </w:rPr>
        <w:t>退休金、社會安全、MPF及其他法定就業合規紀錄。</w:t>
      </w:r>
    </w:p>
    <w:p w14:paraId="7148D522" w14:textId="13984166" w:rsidR="003B7339" w:rsidRPr="00C955AB" w:rsidRDefault="00D36216">
      <w:pPr>
        <w:numPr>
          <w:ilvl w:val="0"/>
          <w:numId w:val="11"/>
        </w:numPr>
        <w:spacing w:before="105" w:after="105" w:line="360" w:lineRule="auto"/>
        <w:rPr>
          <w:sz w:val="16"/>
          <w:szCs w:val="16"/>
          <w:lang w:eastAsia="zh-TW"/>
        </w:rPr>
      </w:pPr>
      <w:r w:rsidRPr="00C955AB">
        <w:rPr>
          <w:rFonts w:eastAsia="Georgia" w:hAnsi="Georgia" w:cs="Georgia"/>
          <w:color w:val="000000"/>
          <w:sz w:val="16"/>
          <w:szCs w:val="16"/>
          <w:lang w:eastAsia="zh-TW"/>
        </w:rPr>
        <w:t>勞資糾紛、法規罰款或重大員工流動問題的紀錄。</w:t>
      </w:r>
    </w:p>
    <w:p w14:paraId="12257B6E" w14:textId="77777777" w:rsidR="003B7339" w:rsidRPr="00C955AB" w:rsidRDefault="00D36216">
      <w:pPr>
        <w:spacing w:before="315" w:after="105" w:line="360" w:lineRule="auto"/>
        <w:ind w:left="-30"/>
        <w:rPr>
          <w:sz w:val="16"/>
          <w:szCs w:val="16"/>
          <w:lang w:eastAsia="zh-TW"/>
        </w:rPr>
      </w:pPr>
      <w:bookmarkStart w:id="12" w:name="governance_and_internal_control"/>
      <w:r w:rsidRPr="00C955AB">
        <w:rPr>
          <w:rFonts w:eastAsia="Georgia" w:hAnsi="Georgia" w:cs="Georgia"/>
          <w:b/>
          <w:color w:val="000000"/>
          <w:sz w:val="16"/>
          <w:szCs w:val="16"/>
          <w:lang w:eastAsia="zh-TW"/>
        </w:rPr>
        <w:t>治理與內部控制</w:t>
      </w:r>
      <w:bookmarkEnd w:id="12"/>
    </w:p>
    <w:p w14:paraId="42FCEB06" w14:textId="3EDDA749" w:rsidR="003B7339" w:rsidRPr="000B1210" w:rsidRDefault="00D36216">
      <w:pPr>
        <w:spacing w:after="210" w:line="360" w:lineRule="auto"/>
        <w:rPr>
          <w:i/>
          <w:iCs/>
          <w:sz w:val="16"/>
          <w:szCs w:val="16"/>
          <w:lang w:eastAsia="zh-TW"/>
        </w:rPr>
      </w:pPr>
      <w:r w:rsidRPr="000B1210">
        <w:rPr>
          <w:rFonts w:eastAsia="Georgia" w:hAnsi="Georgia" w:cs="Georgia"/>
          <w:i/>
          <w:iCs/>
          <w:color w:val="000000"/>
          <w:sz w:val="16"/>
          <w:szCs w:val="16"/>
          <w:lang w:eastAsia="zh-TW"/>
        </w:rPr>
        <w:t>公開市場準備度高度依賴治理成熟度與內部控制品質：</w:t>
      </w:r>
    </w:p>
    <w:p w14:paraId="7BD12AA1" w14:textId="77777777" w:rsidR="003B7339" w:rsidRPr="00C955AB" w:rsidRDefault="00D36216">
      <w:pPr>
        <w:numPr>
          <w:ilvl w:val="0"/>
          <w:numId w:val="12"/>
        </w:numPr>
        <w:spacing w:before="105" w:after="105" w:line="360" w:lineRule="auto"/>
        <w:rPr>
          <w:sz w:val="16"/>
          <w:szCs w:val="16"/>
          <w:lang w:eastAsia="zh-TW"/>
        </w:rPr>
      </w:pPr>
      <w:r w:rsidRPr="00C955AB">
        <w:rPr>
          <w:rFonts w:eastAsia="Georgia" w:hAnsi="Georgia" w:cs="Georgia"/>
          <w:color w:val="000000"/>
          <w:sz w:val="16"/>
          <w:szCs w:val="16"/>
          <w:lang w:eastAsia="zh-TW"/>
        </w:rPr>
        <w:t>現行董事會架構、委員會架構及委員會職權範圍。</w:t>
      </w:r>
    </w:p>
    <w:p w14:paraId="225D6072" w14:textId="77777777" w:rsidR="003B7339" w:rsidRPr="00C955AB" w:rsidRDefault="00D36216">
      <w:pPr>
        <w:numPr>
          <w:ilvl w:val="0"/>
          <w:numId w:val="12"/>
        </w:numPr>
        <w:spacing w:before="105" w:after="105" w:line="360" w:lineRule="auto"/>
        <w:rPr>
          <w:sz w:val="16"/>
          <w:szCs w:val="16"/>
          <w:lang w:eastAsia="zh-TW"/>
        </w:rPr>
      </w:pPr>
      <w:r w:rsidRPr="00C955AB">
        <w:rPr>
          <w:rFonts w:eastAsia="Georgia" w:hAnsi="Georgia" w:cs="Georgia"/>
          <w:color w:val="000000"/>
          <w:sz w:val="16"/>
          <w:szCs w:val="16"/>
          <w:lang w:eastAsia="zh-TW"/>
        </w:rPr>
        <w:t>現有的治理政策，包括核准、授權、反賄賂、吹哨、內幕消息及文件保存。</w:t>
      </w:r>
    </w:p>
    <w:p w14:paraId="7349B5ED" w14:textId="77777777" w:rsidR="003B7339" w:rsidRPr="00C955AB" w:rsidRDefault="00D36216">
      <w:pPr>
        <w:numPr>
          <w:ilvl w:val="0"/>
          <w:numId w:val="12"/>
        </w:numPr>
        <w:spacing w:before="105" w:after="105" w:line="360" w:lineRule="auto"/>
        <w:rPr>
          <w:sz w:val="16"/>
          <w:szCs w:val="16"/>
          <w:lang w:eastAsia="zh-TW"/>
        </w:rPr>
      </w:pPr>
      <w:r w:rsidRPr="00C955AB">
        <w:rPr>
          <w:rFonts w:eastAsia="Georgia" w:hAnsi="Georgia" w:cs="Georgia"/>
          <w:color w:val="000000"/>
          <w:sz w:val="16"/>
          <w:szCs w:val="16"/>
          <w:lang w:eastAsia="zh-TW"/>
        </w:rPr>
        <w:t>內部控制手冊、風險登記冊、內部稽核報告及整治計畫。</w:t>
      </w:r>
    </w:p>
    <w:p w14:paraId="6DD52DFF" w14:textId="77777777" w:rsidR="003B7339" w:rsidRPr="00C955AB" w:rsidRDefault="00D36216">
      <w:pPr>
        <w:numPr>
          <w:ilvl w:val="0"/>
          <w:numId w:val="12"/>
        </w:numPr>
        <w:spacing w:before="105" w:after="105" w:line="360" w:lineRule="auto"/>
        <w:rPr>
          <w:sz w:val="16"/>
          <w:szCs w:val="16"/>
          <w:lang w:eastAsia="zh-TW"/>
        </w:rPr>
      </w:pPr>
      <w:r w:rsidRPr="00C955AB">
        <w:rPr>
          <w:rFonts w:eastAsia="Georgia" w:hAnsi="Georgia" w:cs="Georgia"/>
          <w:color w:val="000000"/>
          <w:sz w:val="16"/>
          <w:szCs w:val="16"/>
          <w:lang w:eastAsia="zh-TW"/>
        </w:rPr>
        <w:t>詐騙事件、合規違規、資安事件及糾正措施。</w:t>
      </w:r>
    </w:p>
    <w:p w14:paraId="265274DE" w14:textId="6D516469" w:rsidR="003B7339" w:rsidRPr="00C955AB" w:rsidRDefault="00D36216">
      <w:pPr>
        <w:numPr>
          <w:ilvl w:val="0"/>
          <w:numId w:val="12"/>
        </w:numPr>
        <w:spacing w:before="105" w:after="105" w:line="360" w:lineRule="auto"/>
        <w:rPr>
          <w:sz w:val="16"/>
          <w:szCs w:val="16"/>
          <w:lang w:eastAsia="zh-TW"/>
        </w:rPr>
      </w:pPr>
      <w:r w:rsidRPr="00C955AB">
        <w:rPr>
          <w:rFonts w:eastAsia="Georgia" w:hAnsi="Georgia" w:cs="Georgia"/>
          <w:color w:val="000000"/>
          <w:sz w:val="16"/>
          <w:szCs w:val="16"/>
          <w:lang w:eastAsia="zh-TW"/>
        </w:rPr>
        <w:t>ESG或永續政策、報告實務，以及重大環境或社會風險。</w:t>
      </w:r>
    </w:p>
    <w:p w14:paraId="445A2B69" w14:textId="77777777" w:rsidR="003B7339" w:rsidRPr="00C955AB" w:rsidRDefault="00D36216">
      <w:pPr>
        <w:spacing w:before="315" w:after="105" w:line="360" w:lineRule="auto"/>
        <w:ind w:left="-30"/>
        <w:rPr>
          <w:sz w:val="16"/>
          <w:szCs w:val="16"/>
          <w:lang w:eastAsia="zh-TW"/>
        </w:rPr>
      </w:pPr>
      <w:bookmarkStart w:id="13" w:name="property_and_assets"/>
      <w:r w:rsidRPr="00C955AB">
        <w:rPr>
          <w:rFonts w:eastAsia="Georgia" w:hAnsi="Georgia" w:cs="Georgia"/>
          <w:b/>
          <w:color w:val="000000"/>
          <w:sz w:val="16"/>
          <w:szCs w:val="16"/>
          <w:lang w:eastAsia="zh-TW"/>
        </w:rPr>
        <w:t>財產與資產</w:t>
      </w:r>
      <w:bookmarkEnd w:id="13"/>
    </w:p>
    <w:p w14:paraId="52402EEA" w14:textId="77777777" w:rsidR="003B7339" w:rsidRPr="000B1210" w:rsidRDefault="00D36216">
      <w:pPr>
        <w:spacing w:after="210" w:line="360" w:lineRule="auto"/>
        <w:rPr>
          <w:i/>
          <w:iCs/>
          <w:sz w:val="16"/>
          <w:szCs w:val="16"/>
          <w:lang w:eastAsia="zh-TW"/>
        </w:rPr>
      </w:pPr>
      <w:r w:rsidRPr="000B1210">
        <w:rPr>
          <w:rFonts w:eastAsia="Georgia" w:hAnsi="Georgia" w:cs="Georgia"/>
          <w:i/>
          <w:iCs/>
          <w:color w:val="000000"/>
          <w:sz w:val="16"/>
          <w:szCs w:val="16"/>
          <w:lang w:eastAsia="zh-TW"/>
        </w:rPr>
        <w:t>請求支援主要作戰資產與財產權：</w:t>
      </w:r>
    </w:p>
    <w:p w14:paraId="0354A3B3" w14:textId="77777777" w:rsidR="003B7339" w:rsidRPr="00C955AB" w:rsidRDefault="00D36216">
      <w:pPr>
        <w:numPr>
          <w:ilvl w:val="0"/>
          <w:numId w:val="13"/>
        </w:numPr>
        <w:spacing w:before="105" w:after="105" w:line="360" w:lineRule="auto"/>
        <w:rPr>
          <w:sz w:val="16"/>
          <w:szCs w:val="16"/>
          <w:lang w:eastAsia="zh-TW"/>
        </w:rPr>
      </w:pPr>
      <w:r w:rsidRPr="00C955AB">
        <w:rPr>
          <w:rFonts w:eastAsia="Georgia" w:hAnsi="Georgia" w:cs="Georgia"/>
          <w:color w:val="000000"/>
          <w:sz w:val="16"/>
          <w:szCs w:val="16"/>
          <w:lang w:eastAsia="zh-TW"/>
        </w:rPr>
        <w:t>如有，請提供財產所有權文件、土地使用權、產權文件及估價報告。</w:t>
      </w:r>
    </w:p>
    <w:p w14:paraId="6118B196" w14:textId="77777777" w:rsidR="003B7339" w:rsidRPr="00C955AB" w:rsidRDefault="00D36216">
      <w:pPr>
        <w:numPr>
          <w:ilvl w:val="0"/>
          <w:numId w:val="13"/>
        </w:numPr>
        <w:spacing w:before="105" w:after="105" w:line="360" w:lineRule="auto"/>
        <w:rPr>
          <w:sz w:val="16"/>
          <w:szCs w:val="16"/>
          <w:lang w:eastAsia="zh-TW"/>
        </w:rPr>
      </w:pPr>
      <w:r w:rsidRPr="00C955AB">
        <w:rPr>
          <w:rFonts w:eastAsia="Georgia" w:hAnsi="Georgia" w:cs="Georgia"/>
          <w:color w:val="000000"/>
          <w:sz w:val="16"/>
          <w:szCs w:val="16"/>
          <w:lang w:eastAsia="zh-TW"/>
        </w:rPr>
        <w:t>租約時間表與入住詳情。</w:t>
      </w:r>
    </w:p>
    <w:p w14:paraId="0B61C41B" w14:textId="77777777" w:rsidR="003B7339" w:rsidRPr="00C955AB" w:rsidRDefault="00D36216">
      <w:pPr>
        <w:numPr>
          <w:ilvl w:val="0"/>
          <w:numId w:val="13"/>
        </w:numPr>
        <w:spacing w:before="105" w:after="105" w:line="360" w:lineRule="auto"/>
        <w:rPr>
          <w:sz w:val="16"/>
          <w:szCs w:val="16"/>
          <w:lang w:eastAsia="zh-TW"/>
        </w:rPr>
      </w:pPr>
      <w:r w:rsidRPr="00C955AB">
        <w:rPr>
          <w:rFonts w:eastAsia="Georgia" w:hAnsi="Georgia" w:cs="Georgia"/>
          <w:color w:val="000000"/>
          <w:sz w:val="16"/>
          <w:szCs w:val="16"/>
          <w:lang w:eastAsia="zh-TW"/>
        </w:rPr>
        <w:t>設備與機械清單、資產登記冊、資本支出計畫及維護紀錄。</w:t>
      </w:r>
    </w:p>
    <w:p w14:paraId="40ACE68C" w14:textId="69C69B72" w:rsidR="003B7339" w:rsidRPr="00C955AB" w:rsidRDefault="00D36216">
      <w:pPr>
        <w:numPr>
          <w:ilvl w:val="0"/>
          <w:numId w:val="13"/>
        </w:numPr>
        <w:spacing w:before="105" w:after="105" w:line="360" w:lineRule="auto"/>
        <w:rPr>
          <w:sz w:val="16"/>
          <w:szCs w:val="16"/>
          <w:lang w:eastAsia="zh-TW"/>
        </w:rPr>
      </w:pPr>
      <w:r w:rsidRPr="00C955AB">
        <w:rPr>
          <w:rFonts w:eastAsia="Georgia" w:hAnsi="Georgia" w:cs="Georgia"/>
          <w:color w:val="000000"/>
          <w:sz w:val="16"/>
          <w:szCs w:val="16"/>
          <w:lang w:eastAsia="zh-TW"/>
        </w:rPr>
        <w:t>抵押資產的詳細資料、產權限制或負擔。</w:t>
      </w:r>
    </w:p>
    <w:p w14:paraId="399D0B75" w14:textId="77777777" w:rsidR="00F3024D" w:rsidRDefault="00F3024D">
      <w:pPr>
        <w:spacing w:before="315" w:after="105" w:line="360" w:lineRule="auto"/>
        <w:ind w:left="-30"/>
        <w:rPr>
          <w:rFonts w:eastAsia="Georgia" w:hAnsi="Georgia" w:cs="Georgia"/>
          <w:b/>
          <w:color w:val="000000"/>
          <w:sz w:val="16"/>
          <w:szCs w:val="16"/>
          <w:lang w:eastAsia="zh-TW"/>
        </w:rPr>
      </w:pPr>
      <w:bookmarkStart w:id="14" w:name="forecasting_and_use_of_proceeds"/>
    </w:p>
    <w:p w14:paraId="44155F2D" w14:textId="4762EFF9" w:rsidR="003B7339" w:rsidRPr="00C955AB" w:rsidRDefault="00D36216">
      <w:pPr>
        <w:spacing w:before="315" w:after="105" w:line="360" w:lineRule="auto"/>
        <w:ind w:left="-30"/>
        <w:rPr>
          <w:sz w:val="16"/>
          <w:szCs w:val="16"/>
          <w:lang w:eastAsia="zh-TW"/>
        </w:rPr>
      </w:pPr>
      <w:r w:rsidRPr="00C955AB">
        <w:rPr>
          <w:rFonts w:eastAsia="Georgia" w:hAnsi="Georgia" w:cs="Georgia"/>
          <w:b/>
          <w:color w:val="000000"/>
          <w:sz w:val="16"/>
          <w:szCs w:val="16"/>
          <w:lang w:eastAsia="zh-TW"/>
        </w:rPr>
        <w:lastRenderedPageBreak/>
        <w:t>收益的預測與運用</w:t>
      </w:r>
      <w:bookmarkEnd w:id="14"/>
    </w:p>
    <w:p w14:paraId="02F124C8" w14:textId="07146E88" w:rsidR="003B7339" w:rsidRPr="000B1210" w:rsidRDefault="00D36216">
      <w:pPr>
        <w:spacing w:after="210" w:line="360" w:lineRule="auto"/>
        <w:rPr>
          <w:i/>
          <w:iCs/>
          <w:sz w:val="16"/>
          <w:szCs w:val="16"/>
          <w:lang w:eastAsia="zh-TW"/>
        </w:rPr>
      </w:pPr>
      <w:r w:rsidRPr="000B1210">
        <w:rPr>
          <w:rFonts w:eastAsia="Georgia" w:hAnsi="Georgia" w:cs="Georgia"/>
          <w:i/>
          <w:iCs/>
          <w:color w:val="000000"/>
          <w:sz w:val="16"/>
          <w:szCs w:val="16"/>
          <w:lang w:eastAsia="zh-TW"/>
        </w:rPr>
        <w:t>對於支持規劃、草擬及投資人訊息傳遞：</w:t>
      </w:r>
    </w:p>
    <w:p w14:paraId="781CC18D" w14:textId="77777777" w:rsidR="003B7339" w:rsidRPr="00C955AB" w:rsidRDefault="00D36216">
      <w:pPr>
        <w:numPr>
          <w:ilvl w:val="0"/>
          <w:numId w:val="14"/>
        </w:numPr>
        <w:spacing w:before="105" w:after="105" w:line="360" w:lineRule="auto"/>
        <w:rPr>
          <w:sz w:val="16"/>
          <w:szCs w:val="16"/>
          <w:lang w:eastAsia="zh-TW"/>
        </w:rPr>
      </w:pPr>
      <w:r w:rsidRPr="00C955AB">
        <w:rPr>
          <w:rFonts w:eastAsia="Georgia" w:hAnsi="Georgia" w:cs="Georgia"/>
          <w:color w:val="000000"/>
          <w:sz w:val="16"/>
          <w:szCs w:val="16"/>
          <w:lang w:eastAsia="zh-TW"/>
        </w:rPr>
        <w:t>詳細的財務預測模型，並附有假設。</w:t>
      </w:r>
    </w:p>
    <w:p w14:paraId="023A4793" w14:textId="77777777" w:rsidR="003B7339" w:rsidRPr="00C955AB" w:rsidRDefault="00D36216">
      <w:pPr>
        <w:numPr>
          <w:ilvl w:val="0"/>
          <w:numId w:val="14"/>
        </w:numPr>
        <w:spacing w:before="105" w:after="105" w:line="360" w:lineRule="auto"/>
        <w:rPr>
          <w:sz w:val="16"/>
          <w:szCs w:val="16"/>
          <w:lang w:eastAsia="zh-TW"/>
        </w:rPr>
      </w:pPr>
      <w:r w:rsidRPr="00C955AB">
        <w:rPr>
          <w:rFonts w:eastAsia="Georgia" w:hAnsi="Georgia" w:cs="Georgia"/>
          <w:color w:val="000000"/>
          <w:sz w:val="16"/>
          <w:szCs w:val="16"/>
          <w:lang w:eastAsia="zh-TW"/>
        </w:rPr>
        <w:t>營收橋樑、利潤假設、資本支出計畫、招聘計畫及營運資金需求。</w:t>
      </w:r>
    </w:p>
    <w:p w14:paraId="10D8747F" w14:textId="77777777" w:rsidR="003B7339" w:rsidRPr="00C955AB" w:rsidRDefault="00D36216">
      <w:pPr>
        <w:numPr>
          <w:ilvl w:val="0"/>
          <w:numId w:val="14"/>
        </w:numPr>
        <w:spacing w:before="105" w:after="105" w:line="360" w:lineRule="auto"/>
        <w:rPr>
          <w:sz w:val="16"/>
          <w:szCs w:val="16"/>
          <w:lang w:eastAsia="zh-TW"/>
        </w:rPr>
      </w:pPr>
      <w:r w:rsidRPr="00C955AB">
        <w:rPr>
          <w:rFonts w:eastAsia="Georgia" w:hAnsi="Georgia" w:cs="Georgia"/>
          <w:color w:val="000000"/>
          <w:sz w:val="16"/>
          <w:szCs w:val="16"/>
          <w:lang w:eastAsia="zh-TW"/>
        </w:rPr>
        <w:t>資金需求分析與債務償還意圖。</w:t>
      </w:r>
    </w:p>
    <w:p w14:paraId="5AF9F86A" w14:textId="77777777" w:rsidR="003B7339" w:rsidRPr="00C955AB" w:rsidRDefault="00D36216">
      <w:pPr>
        <w:numPr>
          <w:ilvl w:val="0"/>
          <w:numId w:val="14"/>
        </w:numPr>
        <w:spacing w:before="105" w:after="105" w:line="360" w:lineRule="auto"/>
        <w:rPr>
          <w:sz w:val="16"/>
          <w:szCs w:val="16"/>
          <w:lang w:eastAsia="zh-TW"/>
        </w:rPr>
      </w:pPr>
      <w:r w:rsidRPr="00C955AB">
        <w:rPr>
          <w:rFonts w:eastAsia="Georgia" w:hAnsi="Georgia" w:cs="Georgia"/>
          <w:color w:val="000000"/>
          <w:sz w:val="16"/>
          <w:szCs w:val="16"/>
          <w:lang w:eastAsia="zh-TW"/>
        </w:rPr>
        <w:t>按類別分配收益的草案使用。</w:t>
      </w:r>
    </w:p>
    <w:p w14:paraId="42BBE7E7" w14:textId="1D043F0B" w:rsidR="003B7339" w:rsidRPr="00C955AB" w:rsidRDefault="00D36216">
      <w:pPr>
        <w:numPr>
          <w:ilvl w:val="0"/>
          <w:numId w:val="14"/>
        </w:numPr>
        <w:spacing w:before="105" w:after="105" w:line="360" w:lineRule="auto"/>
        <w:rPr>
          <w:sz w:val="16"/>
          <w:szCs w:val="16"/>
          <w:lang w:eastAsia="zh-TW"/>
        </w:rPr>
      </w:pPr>
      <w:r w:rsidRPr="00C955AB">
        <w:rPr>
          <w:rFonts w:eastAsia="Georgia" w:hAnsi="Georgia" w:cs="Georgia"/>
          <w:color w:val="000000"/>
          <w:sz w:val="16"/>
          <w:szCs w:val="16"/>
          <w:lang w:eastAsia="zh-TW"/>
        </w:rPr>
        <w:t>關鍵敏感點、缺點案例及企業應變計畫。</w:t>
      </w:r>
    </w:p>
    <w:p w14:paraId="3DBC6A40" w14:textId="77CE6F4F" w:rsidR="003B7339" w:rsidRPr="00F11484" w:rsidRDefault="00F11484">
      <w:pPr>
        <w:spacing w:before="315" w:after="105" w:line="360" w:lineRule="auto"/>
        <w:ind w:left="-30"/>
        <w:rPr>
          <w:sz w:val="16"/>
          <w:szCs w:val="16"/>
          <w:lang w:val="en-HK" w:eastAsia="zh-TW"/>
        </w:rPr>
      </w:pPr>
      <w:bookmarkStart w:id="15" w:name="red_flag_enquiry_points"/>
      <w:r w:rsidRPr="00F11484">
        <w:rPr>
          <w:rFonts w:ascii="微軟正黑體" w:eastAsia="微軟正黑體" w:hAnsi="微軟正黑體" w:cs="微軟正黑體" w:hint="eastAsia"/>
          <w:b/>
          <w:color w:val="000000"/>
          <w:sz w:val="16"/>
          <w:szCs w:val="16"/>
          <w:lang w:eastAsia="zh-TW"/>
        </w:rPr>
        <w:t>問題</w:t>
      </w:r>
      <w:r w:rsidR="00D36216" w:rsidRPr="00C955AB">
        <w:rPr>
          <w:rFonts w:eastAsia="Georgia" w:hAnsi="Georgia" w:cs="Georgia"/>
          <w:b/>
          <w:color w:val="000000"/>
          <w:sz w:val="16"/>
          <w:szCs w:val="16"/>
          <w:lang w:eastAsia="zh-TW"/>
        </w:rPr>
        <w:t>調查</w:t>
      </w:r>
      <w:bookmarkEnd w:id="15"/>
    </w:p>
    <w:p w14:paraId="0044F138" w14:textId="77777777" w:rsidR="003B7339" w:rsidRPr="00EC4272" w:rsidRDefault="00D36216">
      <w:pPr>
        <w:spacing w:after="210" w:line="360" w:lineRule="auto"/>
        <w:rPr>
          <w:i/>
          <w:iCs/>
          <w:sz w:val="16"/>
          <w:szCs w:val="16"/>
          <w:lang w:eastAsia="zh-TW"/>
        </w:rPr>
      </w:pPr>
      <w:r w:rsidRPr="00EC4272">
        <w:rPr>
          <w:rFonts w:eastAsia="Georgia" w:hAnsi="Georgia" w:cs="Georgia"/>
          <w:i/>
          <w:iCs/>
          <w:color w:val="000000"/>
          <w:sz w:val="16"/>
          <w:szCs w:val="16"/>
          <w:lang w:eastAsia="zh-TW"/>
        </w:rPr>
        <w:t>啟動時，請管理層標示任何可能影響時間、估值、適任性或揭露的問題：</w:t>
      </w:r>
    </w:p>
    <w:p w14:paraId="6FE6AE42" w14:textId="77777777" w:rsidR="003B7339" w:rsidRPr="00C955AB" w:rsidRDefault="00D36216">
      <w:pPr>
        <w:numPr>
          <w:ilvl w:val="0"/>
          <w:numId w:val="15"/>
        </w:numPr>
        <w:spacing w:before="105" w:after="105" w:line="360" w:lineRule="auto"/>
        <w:rPr>
          <w:sz w:val="16"/>
          <w:szCs w:val="16"/>
          <w:lang w:eastAsia="zh-TW"/>
        </w:rPr>
      </w:pPr>
      <w:r w:rsidRPr="00C955AB">
        <w:rPr>
          <w:rFonts w:eastAsia="Georgia" w:hAnsi="Georgia" w:cs="Georgia"/>
          <w:color w:val="000000"/>
          <w:sz w:val="16"/>
          <w:szCs w:val="16"/>
          <w:lang w:eastAsia="zh-TW"/>
        </w:rPr>
        <w:t>無執照營業活動或法規不合規。</w:t>
      </w:r>
    </w:p>
    <w:p w14:paraId="7FB80DAA" w14:textId="77777777" w:rsidR="003B7339" w:rsidRPr="00C955AB" w:rsidRDefault="00D36216">
      <w:pPr>
        <w:numPr>
          <w:ilvl w:val="0"/>
          <w:numId w:val="15"/>
        </w:numPr>
        <w:spacing w:before="105" w:after="105" w:line="360" w:lineRule="auto"/>
        <w:rPr>
          <w:sz w:val="16"/>
          <w:szCs w:val="16"/>
          <w:lang w:eastAsia="zh-TW"/>
        </w:rPr>
      </w:pPr>
      <w:r w:rsidRPr="00C955AB">
        <w:rPr>
          <w:rFonts w:eastAsia="Georgia" w:hAnsi="Georgia" w:cs="Georgia"/>
          <w:color w:val="000000"/>
          <w:sz w:val="16"/>
          <w:szCs w:val="16"/>
          <w:lang w:eastAsia="zh-TW"/>
        </w:rPr>
        <w:t>歷史財務紀錄薄弱或缺乏支持文件。</w:t>
      </w:r>
    </w:p>
    <w:p w14:paraId="52F12C5E" w14:textId="77777777" w:rsidR="003B7339" w:rsidRPr="00C955AB" w:rsidRDefault="00D36216">
      <w:pPr>
        <w:numPr>
          <w:ilvl w:val="0"/>
          <w:numId w:val="15"/>
        </w:numPr>
        <w:spacing w:before="105" w:after="105" w:line="360" w:lineRule="auto"/>
        <w:rPr>
          <w:sz w:val="16"/>
          <w:szCs w:val="16"/>
          <w:lang w:eastAsia="zh-TW"/>
        </w:rPr>
      </w:pPr>
      <w:r w:rsidRPr="00C955AB">
        <w:rPr>
          <w:rFonts w:eastAsia="Georgia" w:hAnsi="Georgia" w:cs="Georgia"/>
          <w:color w:val="000000"/>
          <w:sz w:val="16"/>
          <w:szCs w:val="16"/>
          <w:lang w:eastAsia="zh-TW"/>
        </w:rPr>
        <w:t>重大的客戶或供應商依賴性。</w:t>
      </w:r>
    </w:p>
    <w:p w14:paraId="093FE480" w14:textId="77777777" w:rsidR="003B7339" w:rsidRPr="00C955AB" w:rsidRDefault="00D36216">
      <w:pPr>
        <w:numPr>
          <w:ilvl w:val="0"/>
          <w:numId w:val="15"/>
        </w:numPr>
        <w:spacing w:before="105" w:after="105" w:line="360" w:lineRule="auto"/>
        <w:rPr>
          <w:sz w:val="16"/>
          <w:szCs w:val="16"/>
          <w:lang w:eastAsia="zh-TW"/>
        </w:rPr>
      </w:pPr>
      <w:r w:rsidRPr="00C955AB">
        <w:rPr>
          <w:rFonts w:eastAsia="Georgia" w:hAnsi="Georgia" w:cs="Georgia"/>
          <w:color w:val="000000"/>
          <w:sz w:val="16"/>
          <w:szCs w:val="16"/>
          <w:lang w:eastAsia="zh-TW"/>
        </w:rPr>
        <w:t>創辦人或股東間持續的爭議。</w:t>
      </w:r>
    </w:p>
    <w:p w14:paraId="732DA783" w14:textId="77777777" w:rsidR="003B7339" w:rsidRPr="00C955AB" w:rsidRDefault="00D36216">
      <w:pPr>
        <w:numPr>
          <w:ilvl w:val="0"/>
          <w:numId w:val="15"/>
        </w:numPr>
        <w:spacing w:before="105" w:after="105" w:line="360" w:lineRule="auto"/>
        <w:rPr>
          <w:sz w:val="16"/>
          <w:szCs w:val="16"/>
          <w:lang w:eastAsia="zh-TW"/>
        </w:rPr>
      </w:pPr>
      <w:r w:rsidRPr="00C955AB">
        <w:rPr>
          <w:rFonts w:eastAsia="Georgia" w:hAnsi="Georgia" w:cs="Georgia"/>
          <w:color w:val="000000"/>
          <w:sz w:val="16"/>
          <w:szCs w:val="16"/>
          <w:lang w:eastAsia="zh-TW"/>
        </w:rPr>
        <w:t>複雜的離岸結構或不明確的實益所有權。</w:t>
      </w:r>
    </w:p>
    <w:p w14:paraId="39804274" w14:textId="77777777" w:rsidR="003B7339" w:rsidRPr="00C955AB" w:rsidRDefault="00D36216">
      <w:pPr>
        <w:numPr>
          <w:ilvl w:val="0"/>
          <w:numId w:val="15"/>
        </w:numPr>
        <w:spacing w:before="105" w:after="105" w:line="360" w:lineRule="auto"/>
        <w:rPr>
          <w:sz w:val="16"/>
          <w:szCs w:val="16"/>
          <w:lang w:eastAsia="zh-TW"/>
        </w:rPr>
      </w:pPr>
      <w:r w:rsidRPr="00C955AB">
        <w:rPr>
          <w:rFonts w:eastAsia="Georgia" w:hAnsi="Georgia" w:cs="Georgia"/>
          <w:color w:val="000000"/>
          <w:sz w:val="16"/>
          <w:szCs w:val="16"/>
          <w:lang w:eastAsia="zh-TW"/>
        </w:rPr>
        <w:t>透過企業進行重大的相關當事人交易或個人支出。</w:t>
      </w:r>
    </w:p>
    <w:p w14:paraId="08822B58" w14:textId="77777777" w:rsidR="003B7339" w:rsidRPr="00C955AB" w:rsidRDefault="00D36216">
      <w:pPr>
        <w:numPr>
          <w:ilvl w:val="0"/>
          <w:numId w:val="15"/>
        </w:numPr>
        <w:spacing w:before="105" w:after="105" w:line="360" w:lineRule="auto"/>
        <w:rPr>
          <w:sz w:val="16"/>
          <w:szCs w:val="16"/>
          <w:lang w:eastAsia="zh-TW"/>
        </w:rPr>
      </w:pPr>
      <w:r w:rsidRPr="00C955AB">
        <w:rPr>
          <w:rFonts w:eastAsia="Georgia" w:hAnsi="Georgia" w:cs="Georgia"/>
          <w:color w:val="000000"/>
          <w:sz w:val="16"/>
          <w:szCs w:val="16"/>
          <w:lang w:eastAsia="zh-TW"/>
        </w:rPr>
        <w:t>稅務風險、勞工不合規或產權缺陷。</w:t>
      </w:r>
    </w:p>
    <w:p w14:paraId="04C58239" w14:textId="21098FCB" w:rsidR="003B7339" w:rsidRPr="00C955AB" w:rsidRDefault="00D36216">
      <w:pPr>
        <w:numPr>
          <w:ilvl w:val="0"/>
          <w:numId w:val="15"/>
        </w:numPr>
        <w:spacing w:before="105" w:after="105" w:line="360" w:lineRule="auto"/>
        <w:rPr>
          <w:sz w:val="16"/>
          <w:szCs w:val="16"/>
          <w:lang w:eastAsia="zh-TW"/>
        </w:rPr>
      </w:pPr>
      <w:r w:rsidRPr="00C955AB">
        <w:rPr>
          <w:rFonts w:eastAsia="Georgia" w:hAnsi="Georgia" w:cs="Georgia"/>
          <w:color w:val="000000"/>
          <w:sz w:val="16"/>
          <w:szCs w:val="16"/>
          <w:lang w:eastAsia="zh-TW"/>
        </w:rPr>
        <w:t>內部控制弱點或管理報告不可靠。</w:t>
      </w:r>
    </w:p>
    <w:p w14:paraId="2821817A" w14:textId="03841BD4" w:rsidR="003B7339" w:rsidRPr="00C955AB" w:rsidRDefault="00D36216">
      <w:pPr>
        <w:spacing w:before="315" w:after="105" w:line="360" w:lineRule="auto"/>
        <w:ind w:left="-30"/>
        <w:rPr>
          <w:sz w:val="16"/>
          <w:szCs w:val="16"/>
          <w:lang w:eastAsia="zh-TW"/>
        </w:rPr>
      </w:pPr>
      <w:bookmarkStart w:id="16" w:name="suggested_first_deliverables_from_client"/>
      <w:r w:rsidRPr="00C955AB">
        <w:rPr>
          <w:rFonts w:eastAsia="Georgia" w:hAnsi="Georgia" w:cs="Georgia"/>
          <w:b/>
          <w:color w:val="000000"/>
          <w:sz w:val="16"/>
          <w:szCs w:val="16"/>
          <w:lang w:eastAsia="zh-TW"/>
        </w:rPr>
        <w:t>建議首批交付成果</w:t>
      </w:r>
      <w:bookmarkEnd w:id="16"/>
    </w:p>
    <w:p w14:paraId="2870E4B6" w14:textId="09C41CF9" w:rsidR="003B7339" w:rsidRPr="00A53266" w:rsidRDefault="00D36216">
      <w:pPr>
        <w:spacing w:after="210" w:line="360" w:lineRule="auto"/>
        <w:rPr>
          <w:i/>
          <w:iCs/>
          <w:sz w:val="16"/>
          <w:szCs w:val="16"/>
          <w:lang w:eastAsia="zh-TW"/>
        </w:rPr>
      </w:pPr>
      <w:r w:rsidRPr="00A53266">
        <w:rPr>
          <w:rFonts w:eastAsia="Georgia" w:hAnsi="Georgia" w:cs="Georgia"/>
          <w:i/>
          <w:iCs/>
          <w:color w:val="000000"/>
          <w:sz w:val="16"/>
          <w:szCs w:val="16"/>
          <w:lang w:eastAsia="zh-TW"/>
        </w:rPr>
        <w:t>實務起步包通常包含以下內容，通常足以開始差距評估與工作規劃：</w:t>
      </w:r>
    </w:p>
    <w:p w14:paraId="0E02E739" w14:textId="030D6C2C" w:rsidR="003B7339" w:rsidRPr="00C955AB" w:rsidRDefault="00D36216">
      <w:pPr>
        <w:numPr>
          <w:ilvl w:val="0"/>
          <w:numId w:val="16"/>
        </w:numPr>
        <w:spacing w:before="105" w:after="105" w:line="360" w:lineRule="auto"/>
        <w:rPr>
          <w:sz w:val="16"/>
          <w:szCs w:val="16"/>
          <w:lang w:eastAsia="zh-TW"/>
        </w:rPr>
      </w:pPr>
      <w:r w:rsidRPr="00C955AB">
        <w:rPr>
          <w:rFonts w:eastAsia="Georgia" w:hAnsi="Georgia" w:cs="Georgia"/>
          <w:color w:val="000000"/>
          <w:sz w:val="16"/>
          <w:szCs w:val="16"/>
          <w:lang w:eastAsia="zh-TW"/>
        </w:rPr>
        <w:t>結構圖與資本化表。</w:t>
      </w:r>
    </w:p>
    <w:p w14:paraId="206D25AA" w14:textId="77777777" w:rsidR="003B7339" w:rsidRPr="00C955AB" w:rsidRDefault="00D36216">
      <w:pPr>
        <w:numPr>
          <w:ilvl w:val="0"/>
          <w:numId w:val="16"/>
        </w:numPr>
        <w:spacing w:before="105" w:after="105" w:line="360" w:lineRule="auto"/>
        <w:rPr>
          <w:sz w:val="16"/>
          <w:szCs w:val="16"/>
          <w:lang w:eastAsia="zh-TW"/>
        </w:rPr>
      </w:pPr>
      <w:r w:rsidRPr="00C955AB">
        <w:rPr>
          <w:rFonts w:eastAsia="Georgia" w:hAnsi="Georgia" w:cs="Georgia"/>
          <w:color w:val="000000"/>
          <w:sz w:val="16"/>
          <w:szCs w:val="16"/>
          <w:lang w:eastAsia="zh-TW"/>
        </w:rPr>
        <w:t>最新的審計財務報表及近期管理帳目。</w:t>
      </w:r>
    </w:p>
    <w:p w14:paraId="164AA7D4" w14:textId="77777777" w:rsidR="003B7339" w:rsidRPr="00C955AB" w:rsidRDefault="00D36216">
      <w:pPr>
        <w:numPr>
          <w:ilvl w:val="0"/>
          <w:numId w:val="16"/>
        </w:numPr>
        <w:spacing w:before="105" w:after="105" w:line="360" w:lineRule="auto"/>
        <w:rPr>
          <w:sz w:val="16"/>
          <w:szCs w:val="16"/>
          <w:lang w:eastAsia="zh-TW"/>
        </w:rPr>
      </w:pPr>
      <w:r w:rsidRPr="00C955AB">
        <w:rPr>
          <w:rFonts w:eastAsia="Georgia" w:hAnsi="Georgia" w:cs="Georgia"/>
          <w:color w:val="000000"/>
          <w:sz w:val="16"/>
          <w:szCs w:val="16"/>
          <w:lang w:eastAsia="zh-TW"/>
        </w:rPr>
        <w:t>商業模式呈現與營運流程圖。</w:t>
      </w:r>
    </w:p>
    <w:p w14:paraId="491524EA" w14:textId="77777777" w:rsidR="003B7339" w:rsidRPr="00C955AB" w:rsidRDefault="00D36216">
      <w:pPr>
        <w:numPr>
          <w:ilvl w:val="0"/>
          <w:numId w:val="16"/>
        </w:numPr>
        <w:spacing w:before="105" w:after="105" w:line="360" w:lineRule="auto"/>
        <w:rPr>
          <w:sz w:val="16"/>
          <w:szCs w:val="16"/>
          <w:lang w:eastAsia="zh-TW"/>
        </w:rPr>
      </w:pPr>
      <w:r w:rsidRPr="00C955AB">
        <w:rPr>
          <w:rFonts w:eastAsia="Georgia" w:hAnsi="Georgia" w:cs="Georgia"/>
          <w:color w:val="000000"/>
          <w:sz w:val="16"/>
          <w:szCs w:val="16"/>
          <w:lang w:eastAsia="zh-TW"/>
        </w:rPr>
        <w:t>以營收或支出集中度列入頂尖客戶與供應商名單。</w:t>
      </w:r>
    </w:p>
    <w:p w14:paraId="4B3607FD" w14:textId="77777777" w:rsidR="003B7339" w:rsidRPr="00C955AB" w:rsidRDefault="00D36216">
      <w:pPr>
        <w:numPr>
          <w:ilvl w:val="0"/>
          <w:numId w:val="16"/>
        </w:numPr>
        <w:spacing w:before="105" w:after="105" w:line="360" w:lineRule="auto"/>
        <w:rPr>
          <w:sz w:val="16"/>
          <w:szCs w:val="16"/>
          <w:lang w:eastAsia="zh-TW"/>
        </w:rPr>
      </w:pPr>
      <w:r w:rsidRPr="00C955AB">
        <w:rPr>
          <w:rFonts w:eastAsia="Georgia" w:hAnsi="Georgia" w:cs="Georgia"/>
          <w:color w:val="000000"/>
          <w:sz w:val="16"/>
          <w:szCs w:val="16"/>
          <w:lang w:eastAsia="zh-TW"/>
        </w:rPr>
        <w:t>重要合約清單及關鍵協議副本。</w:t>
      </w:r>
    </w:p>
    <w:p w14:paraId="72DD4CB9" w14:textId="77777777" w:rsidR="003B7339" w:rsidRPr="00C955AB" w:rsidRDefault="00D36216">
      <w:pPr>
        <w:numPr>
          <w:ilvl w:val="0"/>
          <w:numId w:val="16"/>
        </w:numPr>
        <w:spacing w:before="105" w:after="105" w:line="360" w:lineRule="auto"/>
        <w:rPr>
          <w:sz w:val="16"/>
          <w:szCs w:val="16"/>
          <w:lang w:eastAsia="zh-TW"/>
        </w:rPr>
      </w:pPr>
      <w:r w:rsidRPr="00C955AB">
        <w:rPr>
          <w:rFonts w:eastAsia="Georgia" w:hAnsi="Georgia" w:cs="Georgia"/>
          <w:color w:val="000000"/>
          <w:sz w:val="16"/>
          <w:szCs w:val="16"/>
          <w:lang w:eastAsia="zh-TW"/>
        </w:rPr>
        <w:t>報稅摘要及任何未解決爭議清單。</w:t>
      </w:r>
    </w:p>
    <w:p w14:paraId="2ED550EA" w14:textId="77777777" w:rsidR="003B7339" w:rsidRPr="00C955AB" w:rsidRDefault="00D36216">
      <w:pPr>
        <w:numPr>
          <w:ilvl w:val="0"/>
          <w:numId w:val="16"/>
        </w:numPr>
        <w:spacing w:before="105" w:after="105" w:line="360" w:lineRule="auto"/>
        <w:rPr>
          <w:sz w:val="16"/>
          <w:szCs w:val="16"/>
          <w:lang w:eastAsia="zh-TW"/>
        </w:rPr>
      </w:pPr>
      <w:r w:rsidRPr="00C955AB">
        <w:rPr>
          <w:rFonts w:eastAsia="Georgia" w:hAnsi="Georgia" w:cs="Georgia"/>
          <w:color w:val="000000"/>
          <w:sz w:val="16"/>
          <w:szCs w:val="16"/>
          <w:lang w:eastAsia="zh-TW"/>
        </w:rPr>
        <w:t>訴訟清單、執照登記冊及智慧財產權時程。</w:t>
      </w:r>
    </w:p>
    <w:p w14:paraId="488DF6A7" w14:textId="77777777" w:rsidR="003B7339" w:rsidRPr="00C955AB" w:rsidRDefault="00D36216">
      <w:pPr>
        <w:numPr>
          <w:ilvl w:val="0"/>
          <w:numId w:val="16"/>
        </w:numPr>
        <w:spacing w:before="105" w:after="105" w:line="360" w:lineRule="auto"/>
        <w:rPr>
          <w:sz w:val="16"/>
          <w:szCs w:val="16"/>
          <w:lang w:eastAsia="zh-TW"/>
        </w:rPr>
      </w:pPr>
      <w:r w:rsidRPr="00C955AB">
        <w:rPr>
          <w:rFonts w:eastAsia="Georgia" w:hAnsi="Georgia" w:cs="Georgia"/>
          <w:color w:val="000000"/>
          <w:sz w:val="16"/>
          <w:szCs w:val="16"/>
          <w:lang w:eastAsia="zh-TW"/>
        </w:rPr>
        <w:t>董事會與管理層名單、組織架構圖及主要員工合約。</w:t>
      </w:r>
    </w:p>
    <w:p w14:paraId="093C2FC0" w14:textId="77777777" w:rsidR="003B7339" w:rsidRPr="00C955AB" w:rsidRDefault="00D36216">
      <w:pPr>
        <w:numPr>
          <w:ilvl w:val="0"/>
          <w:numId w:val="16"/>
        </w:numPr>
        <w:spacing w:before="105" w:after="105" w:line="360" w:lineRule="auto"/>
        <w:rPr>
          <w:sz w:val="16"/>
          <w:szCs w:val="16"/>
          <w:lang w:eastAsia="zh-TW"/>
        </w:rPr>
      </w:pPr>
      <w:r w:rsidRPr="00C955AB">
        <w:rPr>
          <w:rFonts w:eastAsia="Georgia" w:hAnsi="Georgia" w:cs="Georgia"/>
          <w:color w:val="000000"/>
          <w:sz w:val="16"/>
          <w:szCs w:val="16"/>
          <w:lang w:eastAsia="zh-TW"/>
        </w:rPr>
        <w:t>內部控制或稽核報告（如果有的話）。</w:t>
      </w:r>
    </w:p>
    <w:p w14:paraId="31AAB64C" w14:textId="6CD8C841" w:rsidR="00A53266" w:rsidRPr="009B44F1" w:rsidRDefault="00D36216" w:rsidP="009B44F1">
      <w:pPr>
        <w:numPr>
          <w:ilvl w:val="0"/>
          <w:numId w:val="16"/>
        </w:numPr>
        <w:spacing w:before="105" w:after="105" w:line="360" w:lineRule="auto"/>
        <w:rPr>
          <w:sz w:val="16"/>
          <w:szCs w:val="16"/>
          <w:lang w:eastAsia="zh-TW"/>
        </w:rPr>
      </w:pPr>
      <w:r w:rsidRPr="00C955AB">
        <w:rPr>
          <w:rFonts w:eastAsia="Georgia" w:hAnsi="Georgia" w:cs="Georgia"/>
          <w:color w:val="000000"/>
          <w:sz w:val="16"/>
          <w:szCs w:val="16"/>
          <w:lang w:eastAsia="zh-TW"/>
        </w:rPr>
        <w:t>預測模型及收益使用方案概要。</w:t>
      </w:r>
    </w:p>
    <w:p w14:paraId="289C4C32" w14:textId="47E463DD" w:rsidR="003B7339" w:rsidRPr="00A53266" w:rsidRDefault="00A53266">
      <w:pPr>
        <w:spacing w:after="210" w:line="360" w:lineRule="auto"/>
        <w:rPr>
          <w:sz w:val="16"/>
          <w:szCs w:val="16"/>
          <w:u w:val="single"/>
          <w:lang w:eastAsia="zh-TW"/>
        </w:rPr>
      </w:pPr>
      <w:r w:rsidRPr="00A53266">
        <w:rPr>
          <w:rFonts w:eastAsia="Georgia" w:hAnsi="Georgia" w:cs="Georgia"/>
          <w:color w:val="000000"/>
          <w:sz w:val="16"/>
          <w:szCs w:val="16"/>
          <w:u w:val="single"/>
          <w:lang w:eastAsia="zh-TW"/>
        </w:rPr>
        <w:t>注意：初步審查後，我們將提供詳細的後續請求。</w:t>
      </w:r>
    </w:p>
    <w:sectPr w:rsidR="003B7339" w:rsidRPr="00A53266" w:rsidSect="009B44F1">
      <w:pgSz w:w="12240" w:h="15840"/>
      <w:pgMar w:top="113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F4C"/>
    <w:multiLevelType w:val="hybridMultilevel"/>
    <w:tmpl w:val="4BEABBC8"/>
    <w:lvl w:ilvl="0" w:tplc="57F81EE8">
      <w:start w:val="1"/>
      <w:numFmt w:val="bullet"/>
      <w:lvlText w:val=""/>
      <w:lvlJc w:val="left"/>
      <w:pPr>
        <w:tabs>
          <w:tab w:val="num" w:pos="900"/>
        </w:tabs>
        <w:ind w:left="540" w:hanging="360"/>
      </w:pPr>
      <w:rPr>
        <w:rFonts w:ascii="Symbol" w:hAnsi="Symbol" w:hint="default"/>
      </w:rPr>
    </w:lvl>
    <w:lvl w:ilvl="1" w:tplc="1D406726">
      <w:numFmt w:val="chineseCounting"/>
      <w:lvlText w:val=""/>
      <w:lvlJc w:val="left"/>
    </w:lvl>
    <w:lvl w:ilvl="2" w:tplc="A9A0E3A2">
      <w:numFmt w:val="chineseCounting"/>
      <w:lvlText w:val=""/>
      <w:lvlJc w:val="left"/>
    </w:lvl>
    <w:lvl w:ilvl="3" w:tplc="4E2C4A02">
      <w:numFmt w:val="chineseCounting"/>
      <w:lvlText w:val=""/>
      <w:lvlJc w:val="left"/>
    </w:lvl>
    <w:lvl w:ilvl="4" w:tplc="9232137E">
      <w:numFmt w:val="chineseCounting"/>
      <w:lvlText w:val=""/>
      <w:lvlJc w:val="left"/>
    </w:lvl>
    <w:lvl w:ilvl="5" w:tplc="48F8A036">
      <w:numFmt w:val="chineseCounting"/>
      <w:lvlText w:val=""/>
      <w:lvlJc w:val="left"/>
    </w:lvl>
    <w:lvl w:ilvl="6" w:tplc="E912E432">
      <w:numFmt w:val="chineseCounting"/>
      <w:lvlText w:val=""/>
      <w:lvlJc w:val="left"/>
    </w:lvl>
    <w:lvl w:ilvl="7" w:tplc="FF38A7B2">
      <w:numFmt w:val="chineseCounting"/>
      <w:lvlText w:val=""/>
      <w:lvlJc w:val="left"/>
    </w:lvl>
    <w:lvl w:ilvl="8" w:tplc="FE66285A">
      <w:numFmt w:val="chineseCounting"/>
      <w:lvlText w:val=""/>
      <w:lvlJc w:val="left"/>
    </w:lvl>
  </w:abstractNum>
  <w:abstractNum w:abstractNumId="1" w15:restartNumberingAfterBreak="0">
    <w:nsid w:val="0892696F"/>
    <w:multiLevelType w:val="hybridMultilevel"/>
    <w:tmpl w:val="1F92830A"/>
    <w:lvl w:ilvl="0" w:tplc="AC6ACE24">
      <w:start w:val="1"/>
      <w:numFmt w:val="bullet"/>
      <w:lvlText w:val=""/>
      <w:lvlJc w:val="left"/>
      <w:pPr>
        <w:tabs>
          <w:tab w:val="num" w:pos="900"/>
        </w:tabs>
        <w:ind w:left="540" w:hanging="360"/>
      </w:pPr>
      <w:rPr>
        <w:rFonts w:ascii="Symbol" w:hAnsi="Symbol" w:hint="default"/>
      </w:rPr>
    </w:lvl>
    <w:lvl w:ilvl="1" w:tplc="C2083E42">
      <w:numFmt w:val="chineseCounting"/>
      <w:lvlText w:val=""/>
      <w:lvlJc w:val="left"/>
    </w:lvl>
    <w:lvl w:ilvl="2" w:tplc="EB9A28AA">
      <w:numFmt w:val="chineseCounting"/>
      <w:lvlText w:val=""/>
      <w:lvlJc w:val="left"/>
    </w:lvl>
    <w:lvl w:ilvl="3" w:tplc="880CA7E8">
      <w:numFmt w:val="chineseCounting"/>
      <w:lvlText w:val=""/>
      <w:lvlJc w:val="left"/>
    </w:lvl>
    <w:lvl w:ilvl="4" w:tplc="2140F090">
      <w:numFmt w:val="chineseCounting"/>
      <w:lvlText w:val=""/>
      <w:lvlJc w:val="left"/>
    </w:lvl>
    <w:lvl w:ilvl="5" w:tplc="88244C8E">
      <w:numFmt w:val="chineseCounting"/>
      <w:lvlText w:val=""/>
      <w:lvlJc w:val="left"/>
    </w:lvl>
    <w:lvl w:ilvl="6" w:tplc="7452F298">
      <w:numFmt w:val="chineseCounting"/>
      <w:lvlText w:val=""/>
      <w:lvlJc w:val="left"/>
    </w:lvl>
    <w:lvl w:ilvl="7" w:tplc="430C8938">
      <w:numFmt w:val="chineseCounting"/>
      <w:lvlText w:val=""/>
      <w:lvlJc w:val="left"/>
    </w:lvl>
    <w:lvl w:ilvl="8" w:tplc="AC584B72">
      <w:numFmt w:val="chineseCounting"/>
      <w:lvlText w:val=""/>
      <w:lvlJc w:val="left"/>
    </w:lvl>
  </w:abstractNum>
  <w:abstractNum w:abstractNumId="2" w15:restartNumberingAfterBreak="0">
    <w:nsid w:val="0EC55E5B"/>
    <w:multiLevelType w:val="hybridMultilevel"/>
    <w:tmpl w:val="2E84C818"/>
    <w:lvl w:ilvl="0" w:tplc="CB88DEFE">
      <w:start w:val="1"/>
      <w:numFmt w:val="bullet"/>
      <w:lvlText w:val=""/>
      <w:lvlJc w:val="left"/>
      <w:pPr>
        <w:tabs>
          <w:tab w:val="num" w:pos="900"/>
        </w:tabs>
        <w:ind w:left="540" w:hanging="360"/>
      </w:pPr>
      <w:rPr>
        <w:rFonts w:ascii="Symbol" w:hAnsi="Symbol" w:hint="default"/>
      </w:rPr>
    </w:lvl>
    <w:lvl w:ilvl="1" w:tplc="5BA2D680">
      <w:numFmt w:val="chineseCounting"/>
      <w:lvlText w:val=""/>
      <w:lvlJc w:val="left"/>
    </w:lvl>
    <w:lvl w:ilvl="2" w:tplc="A21C7F6C">
      <w:numFmt w:val="chineseCounting"/>
      <w:lvlText w:val=""/>
      <w:lvlJc w:val="left"/>
    </w:lvl>
    <w:lvl w:ilvl="3" w:tplc="F3362220">
      <w:numFmt w:val="chineseCounting"/>
      <w:lvlText w:val=""/>
      <w:lvlJc w:val="left"/>
    </w:lvl>
    <w:lvl w:ilvl="4" w:tplc="7D8CED5A">
      <w:numFmt w:val="chineseCounting"/>
      <w:lvlText w:val=""/>
      <w:lvlJc w:val="left"/>
    </w:lvl>
    <w:lvl w:ilvl="5" w:tplc="24448BF6">
      <w:numFmt w:val="chineseCounting"/>
      <w:lvlText w:val=""/>
      <w:lvlJc w:val="left"/>
    </w:lvl>
    <w:lvl w:ilvl="6" w:tplc="E37EDBEC">
      <w:numFmt w:val="chineseCounting"/>
      <w:lvlText w:val=""/>
      <w:lvlJc w:val="left"/>
    </w:lvl>
    <w:lvl w:ilvl="7" w:tplc="A5CC1188">
      <w:numFmt w:val="chineseCounting"/>
      <w:lvlText w:val=""/>
      <w:lvlJc w:val="left"/>
    </w:lvl>
    <w:lvl w:ilvl="8" w:tplc="EC261E30">
      <w:numFmt w:val="chineseCounting"/>
      <w:lvlText w:val=""/>
      <w:lvlJc w:val="left"/>
    </w:lvl>
  </w:abstractNum>
  <w:abstractNum w:abstractNumId="3" w15:restartNumberingAfterBreak="0">
    <w:nsid w:val="14814137"/>
    <w:multiLevelType w:val="hybridMultilevel"/>
    <w:tmpl w:val="41781F70"/>
    <w:lvl w:ilvl="0" w:tplc="78B094EE">
      <w:start w:val="1"/>
      <w:numFmt w:val="bullet"/>
      <w:lvlText w:val=""/>
      <w:lvlJc w:val="left"/>
      <w:pPr>
        <w:tabs>
          <w:tab w:val="num" w:pos="900"/>
        </w:tabs>
        <w:ind w:left="540" w:hanging="360"/>
      </w:pPr>
      <w:rPr>
        <w:rFonts w:ascii="Symbol" w:hAnsi="Symbol" w:hint="default"/>
      </w:rPr>
    </w:lvl>
    <w:lvl w:ilvl="1" w:tplc="EFAC3E0C">
      <w:numFmt w:val="chineseCounting"/>
      <w:lvlText w:val=""/>
      <w:lvlJc w:val="left"/>
    </w:lvl>
    <w:lvl w:ilvl="2" w:tplc="A7D62762">
      <w:numFmt w:val="chineseCounting"/>
      <w:lvlText w:val=""/>
      <w:lvlJc w:val="left"/>
    </w:lvl>
    <w:lvl w:ilvl="3" w:tplc="2A4E6922">
      <w:numFmt w:val="chineseCounting"/>
      <w:lvlText w:val=""/>
      <w:lvlJc w:val="left"/>
    </w:lvl>
    <w:lvl w:ilvl="4" w:tplc="D8C6B942">
      <w:numFmt w:val="chineseCounting"/>
      <w:lvlText w:val=""/>
      <w:lvlJc w:val="left"/>
    </w:lvl>
    <w:lvl w:ilvl="5" w:tplc="9EA82C32">
      <w:numFmt w:val="chineseCounting"/>
      <w:lvlText w:val=""/>
      <w:lvlJc w:val="left"/>
    </w:lvl>
    <w:lvl w:ilvl="6" w:tplc="F500AF9E">
      <w:numFmt w:val="chineseCounting"/>
      <w:lvlText w:val=""/>
      <w:lvlJc w:val="left"/>
    </w:lvl>
    <w:lvl w:ilvl="7" w:tplc="B7523A40">
      <w:numFmt w:val="chineseCounting"/>
      <w:lvlText w:val=""/>
      <w:lvlJc w:val="left"/>
    </w:lvl>
    <w:lvl w:ilvl="8" w:tplc="0DB89E8A">
      <w:numFmt w:val="chineseCounting"/>
      <w:lvlText w:val=""/>
      <w:lvlJc w:val="left"/>
    </w:lvl>
  </w:abstractNum>
  <w:abstractNum w:abstractNumId="4" w15:restartNumberingAfterBreak="0">
    <w:nsid w:val="1B472E4D"/>
    <w:multiLevelType w:val="hybridMultilevel"/>
    <w:tmpl w:val="F28C645C"/>
    <w:lvl w:ilvl="0" w:tplc="78443CFC">
      <w:start w:val="1"/>
      <w:numFmt w:val="bullet"/>
      <w:lvlText w:val=""/>
      <w:lvlJc w:val="left"/>
      <w:pPr>
        <w:tabs>
          <w:tab w:val="num" w:pos="900"/>
        </w:tabs>
        <w:ind w:left="540" w:hanging="360"/>
      </w:pPr>
      <w:rPr>
        <w:rFonts w:ascii="Symbol" w:hAnsi="Symbol" w:hint="default"/>
      </w:rPr>
    </w:lvl>
    <w:lvl w:ilvl="1" w:tplc="1AA8F230">
      <w:numFmt w:val="chineseCounting"/>
      <w:lvlText w:val=""/>
      <w:lvlJc w:val="left"/>
    </w:lvl>
    <w:lvl w:ilvl="2" w:tplc="BD42035E">
      <w:numFmt w:val="chineseCounting"/>
      <w:lvlText w:val=""/>
      <w:lvlJc w:val="left"/>
    </w:lvl>
    <w:lvl w:ilvl="3" w:tplc="A7CA7B4A">
      <w:numFmt w:val="chineseCounting"/>
      <w:lvlText w:val=""/>
      <w:lvlJc w:val="left"/>
    </w:lvl>
    <w:lvl w:ilvl="4" w:tplc="692AD1E4">
      <w:numFmt w:val="chineseCounting"/>
      <w:lvlText w:val=""/>
      <w:lvlJc w:val="left"/>
    </w:lvl>
    <w:lvl w:ilvl="5" w:tplc="A23C751C">
      <w:numFmt w:val="chineseCounting"/>
      <w:lvlText w:val=""/>
      <w:lvlJc w:val="left"/>
    </w:lvl>
    <w:lvl w:ilvl="6" w:tplc="3BCAFE3A">
      <w:numFmt w:val="chineseCounting"/>
      <w:lvlText w:val=""/>
      <w:lvlJc w:val="left"/>
    </w:lvl>
    <w:lvl w:ilvl="7" w:tplc="C33C594C">
      <w:numFmt w:val="chineseCounting"/>
      <w:lvlText w:val=""/>
      <w:lvlJc w:val="left"/>
    </w:lvl>
    <w:lvl w:ilvl="8" w:tplc="0FD0FB6A">
      <w:numFmt w:val="chineseCounting"/>
      <w:lvlText w:val=""/>
      <w:lvlJc w:val="left"/>
    </w:lvl>
  </w:abstractNum>
  <w:abstractNum w:abstractNumId="5" w15:restartNumberingAfterBreak="0">
    <w:nsid w:val="1FE66D61"/>
    <w:multiLevelType w:val="hybridMultilevel"/>
    <w:tmpl w:val="D02010C2"/>
    <w:lvl w:ilvl="0" w:tplc="47201062">
      <w:start w:val="1"/>
      <w:numFmt w:val="bullet"/>
      <w:lvlText w:val=""/>
      <w:lvlJc w:val="left"/>
      <w:pPr>
        <w:tabs>
          <w:tab w:val="num" w:pos="900"/>
        </w:tabs>
        <w:ind w:left="540" w:hanging="360"/>
      </w:pPr>
      <w:rPr>
        <w:rFonts w:ascii="Symbol" w:hAnsi="Symbol" w:hint="default"/>
      </w:rPr>
    </w:lvl>
    <w:lvl w:ilvl="1" w:tplc="C7CA06A8">
      <w:numFmt w:val="chineseCounting"/>
      <w:lvlText w:val=""/>
      <w:lvlJc w:val="left"/>
    </w:lvl>
    <w:lvl w:ilvl="2" w:tplc="D37E222E">
      <w:numFmt w:val="chineseCounting"/>
      <w:lvlText w:val=""/>
      <w:lvlJc w:val="left"/>
    </w:lvl>
    <w:lvl w:ilvl="3" w:tplc="B9D491D2">
      <w:numFmt w:val="chineseCounting"/>
      <w:lvlText w:val=""/>
      <w:lvlJc w:val="left"/>
    </w:lvl>
    <w:lvl w:ilvl="4" w:tplc="CC567A5C">
      <w:numFmt w:val="chineseCounting"/>
      <w:lvlText w:val=""/>
      <w:lvlJc w:val="left"/>
    </w:lvl>
    <w:lvl w:ilvl="5" w:tplc="7F3EF19E">
      <w:numFmt w:val="chineseCounting"/>
      <w:lvlText w:val=""/>
      <w:lvlJc w:val="left"/>
    </w:lvl>
    <w:lvl w:ilvl="6" w:tplc="D6D0854E">
      <w:numFmt w:val="chineseCounting"/>
      <w:lvlText w:val=""/>
      <w:lvlJc w:val="left"/>
    </w:lvl>
    <w:lvl w:ilvl="7" w:tplc="A60EF75E">
      <w:numFmt w:val="chineseCounting"/>
      <w:lvlText w:val=""/>
      <w:lvlJc w:val="left"/>
    </w:lvl>
    <w:lvl w:ilvl="8" w:tplc="9E1AEF46">
      <w:numFmt w:val="chineseCounting"/>
      <w:lvlText w:val=""/>
      <w:lvlJc w:val="left"/>
    </w:lvl>
  </w:abstractNum>
  <w:abstractNum w:abstractNumId="6" w15:restartNumberingAfterBreak="0">
    <w:nsid w:val="2560074C"/>
    <w:multiLevelType w:val="hybridMultilevel"/>
    <w:tmpl w:val="3026ACA2"/>
    <w:lvl w:ilvl="0" w:tplc="6EA4065A">
      <w:start w:val="1"/>
      <w:numFmt w:val="bullet"/>
      <w:lvlText w:val=""/>
      <w:lvlJc w:val="left"/>
      <w:pPr>
        <w:tabs>
          <w:tab w:val="num" w:pos="900"/>
        </w:tabs>
        <w:ind w:left="540" w:hanging="360"/>
      </w:pPr>
      <w:rPr>
        <w:rFonts w:ascii="Symbol" w:hAnsi="Symbol" w:hint="default"/>
      </w:rPr>
    </w:lvl>
    <w:lvl w:ilvl="1" w:tplc="EABCBD6E">
      <w:numFmt w:val="chineseCounting"/>
      <w:lvlText w:val=""/>
      <w:lvlJc w:val="left"/>
    </w:lvl>
    <w:lvl w:ilvl="2" w:tplc="C5FE5C16">
      <w:numFmt w:val="chineseCounting"/>
      <w:lvlText w:val=""/>
      <w:lvlJc w:val="left"/>
    </w:lvl>
    <w:lvl w:ilvl="3" w:tplc="0F0C9CE6">
      <w:numFmt w:val="chineseCounting"/>
      <w:lvlText w:val=""/>
      <w:lvlJc w:val="left"/>
    </w:lvl>
    <w:lvl w:ilvl="4" w:tplc="9174B146">
      <w:numFmt w:val="chineseCounting"/>
      <w:lvlText w:val=""/>
      <w:lvlJc w:val="left"/>
    </w:lvl>
    <w:lvl w:ilvl="5" w:tplc="56C2E54E">
      <w:numFmt w:val="chineseCounting"/>
      <w:lvlText w:val=""/>
      <w:lvlJc w:val="left"/>
    </w:lvl>
    <w:lvl w:ilvl="6" w:tplc="847E4C6C">
      <w:numFmt w:val="chineseCounting"/>
      <w:lvlText w:val=""/>
      <w:lvlJc w:val="left"/>
    </w:lvl>
    <w:lvl w:ilvl="7" w:tplc="271E0D3C">
      <w:numFmt w:val="chineseCounting"/>
      <w:lvlText w:val=""/>
      <w:lvlJc w:val="left"/>
    </w:lvl>
    <w:lvl w:ilvl="8" w:tplc="0472D814">
      <w:numFmt w:val="chineseCounting"/>
      <w:lvlText w:val=""/>
      <w:lvlJc w:val="left"/>
    </w:lvl>
  </w:abstractNum>
  <w:abstractNum w:abstractNumId="7" w15:restartNumberingAfterBreak="0">
    <w:nsid w:val="2A857094"/>
    <w:multiLevelType w:val="hybridMultilevel"/>
    <w:tmpl w:val="360CE300"/>
    <w:lvl w:ilvl="0" w:tplc="12C68104">
      <w:start w:val="1"/>
      <w:numFmt w:val="bullet"/>
      <w:lvlText w:val=""/>
      <w:lvlJc w:val="left"/>
      <w:pPr>
        <w:tabs>
          <w:tab w:val="num" w:pos="900"/>
        </w:tabs>
        <w:ind w:left="540" w:hanging="360"/>
      </w:pPr>
      <w:rPr>
        <w:rFonts w:ascii="Symbol" w:hAnsi="Symbol" w:hint="default"/>
      </w:rPr>
    </w:lvl>
    <w:lvl w:ilvl="1" w:tplc="F2924EF4">
      <w:numFmt w:val="chineseCounting"/>
      <w:lvlText w:val=""/>
      <w:lvlJc w:val="left"/>
    </w:lvl>
    <w:lvl w:ilvl="2" w:tplc="727676F8">
      <w:numFmt w:val="chineseCounting"/>
      <w:lvlText w:val=""/>
      <w:lvlJc w:val="left"/>
    </w:lvl>
    <w:lvl w:ilvl="3" w:tplc="A52C1194">
      <w:numFmt w:val="chineseCounting"/>
      <w:lvlText w:val=""/>
      <w:lvlJc w:val="left"/>
    </w:lvl>
    <w:lvl w:ilvl="4" w:tplc="B08A0D10">
      <w:numFmt w:val="chineseCounting"/>
      <w:lvlText w:val=""/>
      <w:lvlJc w:val="left"/>
    </w:lvl>
    <w:lvl w:ilvl="5" w:tplc="99E805FA">
      <w:numFmt w:val="chineseCounting"/>
      <w:lvlText w:val=""/>
      <w:lvlJc w:val="left"/>
    </w:lvl>
    <w:lvl w:ilvl="6" w:tplc="8BC2064E">
      <w:numFmt w:val="chineseCounting"/>
      <w:lvlText w:val=""/>
      <w:lvlJc w:val="left"/>
    </w:lvl>
    <w:lvl w:ilvl="7" w:tplc="4B38F2AE">
      <w:numFmt w:val="chineseCounting"/>
      <w:lvlText w:val=""/>
      <w:lvlJc w:val="left"/>
    </w:lvl>
    <w:lvl w:ilvl="8" w:tplc="7F567800">
      <w:numFmt w:val="chineseCounting"/>
      <w:lvlText w:val=""/>
      <w:lvlJc w:val="left"/>
    </w:lvl>
  </w:abstractNum>
  <w:abstractNum w:abstractNumId="8" w15:restartNumberingAfterBreak="0">
    <w:nsid w:val="313B66A6"/>
    <w:multiLevelType w:val="hybridMultilevel"/>
    <w:tmpl w:val="78BE6C9A"/>
    <w:lvl w:ilvl="0" w:tplc="CAC6A168">
      <w:start w:val="1"/>
      <w:numFmt w:val="bullet"/>
      <w:lvlText w:val=""/>
      <w:lvlJc w:val="left"/>
      <w:pPr>
        <w:tabs>
          <w:tab w:val="num" w:pos="900"/>
        </w:tabs>
        <w:ind w:left="540" w:hanging="360"/>
      </w:pPr>
      <w:rPr>
        <w:rFonts w:ascii="Symbol" w:hAnsi="Symbol" w:hint="default"/>
      </w:rPr>
    </w:lvl>
    <w:lvl w:ilvl="1" w:tplc="AD1C7BBE">
      <w:numFmt w:val="chineseCounting"/>
      <w:lvlText w:val=""/>
      <w:lvlJc w:val="left"/>
    </w:lvl>
    <w:lvl w:ilvl="2" w:tplc="8E5869B4">
      <w:numFmt w:val="chineseCounting"/>
      <w:lvlText w:val=""/>
      <w:lvlJc w:val="left"/>
    </w:lvl>
    <w:lvl w:ilvl="3" w:tplc="AEE61858">
      <w:numFmt w:val="chineseCounting"/>
      <w:lvlText w:val=""/>
      <w:lvlJc w:val="left"/>
    </w:lvl>
    <w:lvl w:ilvl="4" w:tplc="5E1CCC64">
      <w:numFmt w:val="chineseCounting"/>
      <w:lvlText w:val=""/>
      <w:lvlJc w:val="left"/>
    </w:lvl>
    <w:lvl w:ilvl="5" w:tplc="C9B230BC">
      <w:numFmt w:val="chineseCounting"/>
      <w:lvlText w:val=""/>
      <w:lvlJc w:val="left"/>
    </w:lvl>
    <w:lvl w:ilvl="6" w:tplc="ECA643A4">
      <w:numFmt w:val="chineseCounting"/>
      <w:lvlText w:val=""/>
      <w:lvlJc w:val="left"/>
    </w:lvl>
    <w:lvl w:ilvl="7" w:tplc="4E6C08AA">
      <w:numFmt w:val="chineseCounting"/>
      <w:lvlText w:val=""/>
      <w:lvlJc w:val="left"/>
    </w:lvl>
    <w:lvl w:ilvl="8" w:tplc="CB4E263C">
      <w:numFmt w:val="chineseCounting"/>
      <w:lvlText w:val=""/>
      <w:lvlJc w:val="left"/>
    </w:lvl>
  </w:abstractNum>
  <w:abstractNum w:abstractNumId="9" w15:restartNumberingAfterBreak="0">
    <w:nsid w:val="36FB7FAF"/>
    <w:multiLevelType w:val="hybridMultilevel"/>
    <w:tmpl w:val="52A03128"/>
    <w:lvl w:ilvl="0" w:tplc="38A4408C">
      <w:start w:val="1"/>
      <w:numFmt w:val="chineseCounting"/>
      <w:lvlText w:val="%1."/>
      <w:lvlJc w:val="left"/>
      <w:pPr>
        <w:tabs>
          <w:tab w:val="num" w:pos="900"/>
        </w:tabs>
        <w:ind w:left="540" w:hanging="360"/>
      </w:pPr>
    </w:lvl>
    <w:lvl w:ilvl="1" w:tplc="88C69094">
      <w:numFmt w:val="chineseCounting"/>
      <w:lvlText w:val=""/>
      <w:lvlJc w:val="left"/>
    </w:lvl>
    <w:lvl w:ilvl="2" w:tplc="05BC35F8">
      <w:numFmt w:val="chineseCounting"/>
      <w:lvlText w:val=""/>
      <w:lvlJc w:val="left"/>
    </w:lvl>
    <w:lvl w:ilvl="3" w:tplc="C5A28FA6">
      <w:numFmt w:val="chineseCounting"/>
      <w:lvlText w:val=""/>
      <w:lvlJc w:val="left"/>
    </w:lvl>
    <w:lvl w:ilvl="4" w:tplc="5F2C7C10">
      <w:numFmt w:val="chineseCounting"/>
      <w:lvlText w:val=""/>
      <w:lvlJc w:val="left"/>
    </w:lvl>
    <w:lvl w:ilvl="5" w:tplc="EE721DA6">
      <w:numFmt w:val="chineseCounting"/>
      <w:lvlText w:val=""/>
      <w:lvlJc w:val="left"/>
    </w:lvl>
    <w:lvl w:ilvl="6" w:tplc="B2EEE1BE">
      <w:numFmt w:val="chineseCounting"/>
      <w:lvlText w:val=""/>
      <w:lvlJc w:val="left"/>
    </w:lvl>
    <w:lvl w:ilvl="7" w:tplc="B05AE1CC">
      <w:numFmt w:val="chineseCounting"/>
      <w:lvlText w:val=""/>
      <w:lvlJc w:val="left"/>
    </w:lvl>
    <w:lvl w:ilvl="8" w:tplc="EB247844">
      <w:numFmt w:val="chineseCounting"/>
      <w:lvlText w:val=""/>
      <w:lvlJc w:val="left"/>
    </w:lvl>
  </w:abstractNum>
  <w:abstractNum w:abstractNumId="10" w15:restartNumberingAfterBreak="0">
    <w:nsid w:val="3BFD2AD8"/>
    <w:multiLevelType w:val="hybridMultilevel"/>
    <w:tmpl w:val="B0007794"/>
    <w:lvl w:ilvl="0" w:tplc="F8DA8D9E">
      <w:start w:val="1"/>
      <w:numFmt w:val="bullet"/>
      <w:lvlText w:val=""/>
      <w:lvlJc w:val="left"/>
      <w:pPr>
        <w:tabs>
          <w:tab w:val="num" w:pos="900"/>
        </w:tabs>
        <w:ind w:left="540" w:hanging="360"/>
      </w:pPr>
      <w:rPr>
        <w:rFonts w:ascii="Symbol" w:hAnsi="Symbol" w:hint="default"/>
      </w:rPr>
    </w:lvl>
    <w:lvl w:ilvl="1" w:tplc="4D622AD6">
      <w:numFmt w:val="chineseCounting"/>
      <w:lvlText w:val=""/>
      <w:lvlJc w:val="left"/>
    </w:lvl>
    <w:lvl w:ilvl="2" w:tplc="A4803708">
      <w:numFmt w:val="chineseCounting"/>
      <w:lvlText w:val=""/>
      <w:lvlJc w:val="left"/>
    </w:lvl>
    <w:lvl w:ilvl="3" w:tplc="A62A2186">
      <w:numFmt w:val="chineseCounting"/>
      <w:lvlText w:val=""/>
      <w:lvlJc w:val="left"/>
    </w:lvl>
    <w:lvl w:ilvl="4" w:tplc="70EA1EFC">
      <w:numFmt w:val="chineseCounting"/>
      <w:lvlText w:val=""/>
      <w:lvlJc w:val="left"/>
    </w:lvl>
    <w:lvl w:ilvl="5" w:tplc="0DB67FBE">
      <w:numFmt w:val="chineseCounting"/>
      <w:lvlText w:val=""/>
      <w:lvlJc w:val="left"/>
    </w:lvl>
    <w:lvl w:ilvl="6" w:tplc="42BECA80">
      <w:numFmt w:val="chineseCounting"/>
      <w:lvlText w:val=""/>
      <w:lvlJc w:val="left"/>
    </w:lvl>
    <w:lvl w:ilvl="7" w:tplc="3132D88E">
      <w:numFmt w:val="chineseCounting"/>
      <w:lvlText w:val=""/>
      <w:lvlJc w:val="left"/>
    </w:lvl>
    <w:lvl w:ilvl="8" w:tplc="75BAFB4E">
      <w:numFmt w:val="chineseCounting"/>
      <w:lvlText w:val=""/>
      <w:lvlJc w:val="left"/>
    </w:lvl>
  </w:abstractNum>
  <w:abstractNum w:abstractNumId="11" w15:restartNumberingAfterBreak="0">
    <w:nsid w:val="3E615F46"/>
    <w:multiLevelType w:val="hybridMultilevel"/>
    <w:tmpl w:val="9ECEDAEE"/>
    <w:lvl w:ilvl="0" w:tplc="61183EF8">
      <w:start w:val="1"/>
      <w:numFmt w:val="bullet"/>
      <w:lvlText w:val=""/>
      <w:lvlJc w:val="left"/>
      <w:pPr>
        <w:tabs>
          <w:tab w:val="num" w:pos="900"/>
        </w:tabs>
        <w:ind w:left="540" w:hanging="360"/>
      </w:pPr>
      <w:rPr>
        <w:rFonts w:ascii="Symbol" w:hAnsi="Symbol" w:hint="default"/>
      </w:rPr>
    </w:lvl>
    <w:lvl w:ilvl="1" w:tplc="337EC7BC">
      <w:numFmt w:val="chineseCounting"/>
      <w:lvlText w:val=""/>
      <w:lvlJc w:val="left"/>
    </w:lvl>
    <w:lvl w:ilvl="2" w:tplc="FF8E851E">
      <w:numFmt w:val="chineseCounting"/>
      <w:lvlText w:val=""/>
      <w:lvlJc w:val="left"/>
    </w:lvl>
    <w:lvl w:ilvl="3" w:tplc="4BF43548">
      <w:numFmt w:val="chineseCounting"/>
      <w:lvlText w:val=""/>
      <w:lvlJc w:val="left"/>
    </w:lvl>
    <w:lvl w:ilvl="4" w:tplc="795C44A2">
      <w:numFmt w:val="chineseCounting"/>
      <w:lvlText w:val=""/>
      <w:lvlJc w:val="left"/>
    </w:lvl>
    <w:lvl w:ilvl="5" w:tplc="78F0FFC8">
      <w:numFmt w:val="chineseCounting"/>
      <w:lvlText w:val=""/>
      <w:lvlJc w:val="left"/>
    </w:lvl>
    <w:lvl w:ilvl="6" w:tplc="2FD20236">
      <w:numFmt w:val="chineseCounting"/>
      <w:lvlText w:val=""/>
      <w:lvlJc w:val="left"/>
    </w:lvl>
    <w:lvl w:ilvl="7" w:tplc="14DED0B0">
      <w:numFmt w:val="chineseCounting"/>
      <w:lvlText w:val=""/>
      <w:lvlJc w:val="left"/>
    </w:lvl>
    <w:lvl w:ilvl="8" w:tplc="97E4AC08">
      <w:numFmt w:val="chineseCounting"/>
      <w:lvlText w:val=""/>
      <w:lvlJc w:val="left"/>
    </w:lvl>
  </w:abstractNum>
  <w:abstractNum w:abstractNumId="12" w15:restartNumberingAfterBreak="0">
    <w:nsid w:val="3E9B75BD"/>
    <w:multiLevelType w:val="hybridMultilevel"/>
    <w:tmpl w:val="6ADCFF66"/>
    <w:lvl w:ilvl="0" w:tplc="8494BA8C">
      <w:start w:val="1"/>
      <w:numFmt w:val="bullet"/>
      <w:lvlText w:val=""/>
      <w:lvlJc w:val="left"/>
      <w:pPr>
        <w:tabs>
          <w:tab w:val="num" w:pos="900"/>
        </w:tabs>
        <w:ind w:left="540" w:hanging="360"/>
      </w:pPr>
      <w:rPr>
        <w:rFonts w:ascii="Symbol" w:hAnsi="Symbol" w:hint="default"/>
      </w:rPr>
    </w:lvl>
    <w:lvl w:ilvl="1" w:tplc="0A4678F4">
      <w:numFmt w:val="chineseCounting"/>
      <w:lvlText w:val=""/>
      <w:lvlJc w:val="left"/>
    </w:lvl>
    <w:lvl w:ilvl="2" w:tplc="AFBA1268">
      <w:numFmt w:val="chineseCounting"/>
      <w:lvlText w:val=""/>
      <w:lvlJc w:val="left"/>
    </w:lvl>
    <w:lvl w:ilvl="3" w:tplc="77C67B60">
      <w:numFmt w:val="chineseCounting"/>
      <w:lvlText w:val=""/>
      <w:lvlJc w:val="left"/>
    </w:lvl>
    <w:lvl w:ilvl="4" w:tplc="81588C2A">
      <w:numFmt w:val="chineseCounting"/>
      <w:lvlText w:val=""/>
      <w:lvlJc w:val="left"/>
    </w:lvl>
    <w:lvl w:ilvl="5" w:tplc="C5AE422C">
      <w:numFmt w:val="chineseCounting"/>
      <w:lvlText w:val=""/>
      <w:lvlJc w:val="left"/>
    </w:lvl>
    <w:lvl w:ilvl="6" w:tplc="2312C0F6">
      <w:numFmt w:val="chineseCounting"/>
      <w:lvlText w:val=""/>
      <w:lvlJc w:val="left"/>
    </w:lvl>
    <w:lvl w:ilvl="7" w:tplc="10980FE4">
      <w:numFmt w:val="chineseCounting"/>
      <w:lvlText w:val=""/>
      <w:lvlJc w:val="left"/>
    </w:lvl>
    <w:lvl w:ilvl="8" w:tplc="FE580854">
      <w:numFmt w:val="chineseCounting"/>
      <w:lvlText w:val=""/>
      <w:lvlJc w:val="left"/>
    </w:lvl>
  </w:abstractNum>
  <w:abstractNum w:abstractNumId="13" w15:restartNumberingAfterBreak="0">
    <w:nsid w:val="58AB61F7"/>
    <w:multiLevelType w:val="hybridMultilevel"/>
    <w:tmpl w:val="39EC8106"/>
    <w:lvl w:ilvl="0" w:tplc="340C07A6">
      <w:start w:val="1"/>
      <w:numFmt w:val="bullet"/>
      <w:lvlText w:val=""/>
      <w:lvlJc w:val="left"/>
      <w:pPr>
        <w:tabs>
          <w:tab w:val="num" w:pos="900"/>
        </w:tabs>
        <w:ind w:left="540" w:hanging="360"/>
      </w:pPr>
      <w:rPr>
        <w:rFonts w:ascii="Symbol" w:hAnsi="Symbol" w:hint="default"/>
      </w:rPr>
    </w:lvl>
    <w:lvl w:ilvl="1" w:tplc="A596DA68">
      <w:numFmt w:val="chineseCounting"/>
      <w:lvlText w:val=""/>
      <w:lvlJc w:val="left"/>
    </w:lvl>
    <w:lvl w:ilvl="2" w:tplc="882454DC">
      <w:numFmt w:val="chineseCounting"/>
      <w:lvlText w:val=""/>
      <w:lvlJc w:val="left"/>
    </w:lvl>
    <w:lvl w:ilvl="3" w:tplc="D57448A0">
      <w:numFmt w:val="chineseCounting"/>
      <w:lvlText w:val=""/>
      <w:lvlJc w:val="left"/>
    </w:lvl>
    <w:lvl w:ilvl="4" w:tplc="8370E684">
      <w:numFmt w:val="chineseCounting"/>
      <w:lvlText w:val=""/>
      <w:lvlJc w:val="left"/>
    </w:lvl>
    <w:lvl w:ilvl="5" w:tplc="E778AA5E">
      <w:numFmt w:val="chineseCounting"/>
      <w:lvlText w:val=""/>
      <w:lvlJc w:val="left"/>
    </w:lvl>
    <w:lvl w:ilvl="6" w:tplc="68CA86CA">
      <w:numFmt w:val="chineseCounting"/>
      <w:lvlText w:val=""/>
      <w:lvlJc w:val="left"/>
    </w:lvl>
    <w:lvl w:ilvl="7" w:tplc="52D653A8">
      <w:numFmt w:val="chineseCounting"/>
      <w:lvlText w:val=""/>
      <w:lvlJc w:val="left"/>
    </w:lvl>
    <w:lvl w:ilvl="8" w:tplc="E55A3C1E">
      <w:numFmt w:val="chineseCounting"/>
      <w:lvlText w:val=""/>
      <w:lvlJc w:val="left"/>
    </w:lvl>
  </w:abstractNum>
  <w:abstractNum w:abstractNumId="14" w15:restartNumberingAfterBreak="0">
    <w:nsid w:val="5B562EA6"/>
    <w:multiLevelType w:val="hybridMultilevel"/>
    <w:tmpl w:val="956AA8B4"/>
    <w:lvl w:ilvl="0" w:tplc="999EB230">
      <w:start w:val="1"/>
      <w:numFmt w:val="bullet"/>
      <w:lvlText w:val=""/>
      <w:lvlJc w:val="left"/>
      <w:pPr>
        <w:tabs>
          <w:tab w:val="num" w:pos="900"/>
        </w:tabs>
        <w:ind w:left="540" w:hanging="360"/>
      </w:pPr>
      <w:rPr>
        <w:rFonts w:ascii="Symbol" w:hAnsi="Symbol" w:hint="default"/>
      </w:rPr>
    </w:lvl>
    <w:lvl w:ilvl="1" w:tplc="7FEC0D8C">
      <w:numFmt w:val="chineseCounting"/>
      <w:lvlText w:val=""/>
      <w:lvlJc w:val="left"/>
    </w:lvl>
    <w:lvl w:ilvl="2" w:tplc="0C708250">
      <w:numFmt w:val="chineseCounting"/>
      <w:lvlText w:val=""/>
      <w:lvlJc w:val="left"/>
    </w:lvl>
    <w:lvl w:ilvl="3" w:tplc="BC48ADE4">
      <w:numFmt w:val="chineseCounting"/>
      <w:lvlText w:val=""/>
      <w:lvlJc w:val="left"/>
    </w:lvl>
    <w:lvl w:ilvl="4" w:tplc="9126D8F8">
      <w:numFmt w:val="chineseCounting"/>
      <w:lvlText w:val=""/>
      <w:lvlJc w:val="left"/>
    </w:lvl>
    <w:lvl w:ilvl="5" w:tplc="5A3AC4A0">
      <w:numFmt w:val="chineseCounting"/>
      <w:lvlText w:val=""/>
      <w:lvlJc w:val="left"/>
    </w:lvl>
    <w:lvl w:ilvl="6" w:tplc="DAB03832">
      <w:numFmt w:val="chineseCounting"/>
      <w:lvlText w:val=""/>
      <w:lvlJc w:val="left"/>
    </w:lvl>
    <w:lvl w:ilvl="7" w:tplc="54FA7142">
      <w:numFmt w:val="chineseCounting"/>
      <w:lvlText w:val=""/>
      <w:lvlJc w:val="left"/>
    </w:lvl>
    <w:lvl w:ilvl="8" w:tplc="79B69BFC">
      <w:numFmt w:val="chineseCounting"/>
      <w:lvlText w:val=""/>
      <w:lvlJc w:val="left"/>
    </w:lvl>
  </w:abstractNum>
  <w:abstractNum w:abstractNumId="15" w15:restartNumberingAfterBreak="0">
    <w:nsid w:val="6F3B6E35"/>
    <w:multiLevelType w:val="hybridMultilevel"/>
    <w:tmpl w:val="742643C4"/>
    <w:lvl w:ilvl="0" w:tplc="04F6BC86">
      <w:start w:val="1"/>
      <w:numFmt w:val="bullet"/>
      <w:lvlText w:val=""/>
      <w:lvlJc w:val="left"/>
      <w:pPr>
        <w:tabs>
          <w:tab w:val="num" w:pos="900"/>
        </w:tabs>
        <w:ind w:left="540" w:hanging="360"/>
      </w:pPr>
      <w:rPr>
        <w:rFonts w:ascii="Symbol" w:hAnsi="Symbol" w:hint="default"/>
      </w:rPr>
    </w:lvl>
    <w:lvl w:ilvl="1" w:tplc="FABEEAFC">
      <w:numFmt w:val="chineseCounting"/>
      <w:lvlText w:val=""/>
      <w:lvlJc w:val="left"/>
    </w:lvl>
    <w:lvl w:ilvl="2" w:tplc="4EFA5968">
      <w:numFmt w:val="chineseCounting"/>
      <w:lvlText w:val=""/>
      <w:lvlJc w:val="left"/>
    </w:lvl>
    <w:lvl w:ilvl="3" w:tplc="56B49E20">
      <w:numFmt w:val="chineseCounting"/>
      <w:lvlText w:val=""/>
      <w:lvlJc w:val="left"/>
    </w:lvl>
    <w:lvl w:ilvl="4" w:tplc="A230794C">
      <w:numFmt w:val="chineseCounting"/>
      <w:lvlText w:val=""/>
      <w:lvlJc w:val="left"/>
    </w:lvl>
    <w:lvl w:ilvl="5" w:tplc="E3E6AC46">
      <w:numFmt w:val="chineseCounting"/>
      <w:lvlText w:val=""/>
      <w:lvlJc w:val="left"/>
    </w:lvl>
    <w:lvl w:ilvl="6" w:tplc="9D8C7A0E">
      <w:numFmt w:val="chineseCounting"/>
      <w:lvlText w:val=""/>
      <w:lvlJc w:val="left"/>
    </w:lvl>
    <w:lvl w:ilvl="7" w:tplc="10CE0480">
      <w:numFmt w:val="chineseCounting"/>
      <w:lvlText w:val=""/>
      <w:lvlJc w:val="left"/>
    </w:lvl>
    <w:lvl w:ilvl="8" w:tplc="E0DC0378">
      <w:numFmt w:val="chineseCounting"/>
      <w:lvlText w:val=""/>
      <w:lvlJc w:val="left"/>
    </w:lvl>
  </w:abstractNum>
  <w:num w:numId="1" w16cid:durableId="1800760150">
    <w:abstractNumId w:val="15"/>
  </w:num>
  <w:num w:numId="2" w16cid:durableId="1710914731">
    <w:abstractNumId w:val="4"/>
  </w:num>
  <w:num w:numId="3" w16cid:durableId="83890138">
    <w:abstractNumId w:val="8"/>
  </w:num>
  <w:num w:numId="4" w16cid:durableId="1803185957">
    <w:abstractNumId w:val="14"/>
  </w:num>
  <w:num w:numId="5" w16cid:durableId="1456487199">
    <w:abstractNumId w:val="7"/>
  </w:num>
  <w:num w:numId="6" w16cid:durableId="1373386318">
    <w:abstractNumId w:val="3"/>
  </w:num>
  <w:num w:numId="7" w16cid:durableId="555700264">
    <w:abstractNumId w:val="10"/>
  </w:num>
  <w:num w:numId="8" w16cid:durableId="1473906819">
    <w:abstractNumId w:val="12"/>
  </w:num>
  <w:num w:numId="9" w16cid:durableId="1967076777">
    <w:abstractNumId w:val="1"/>
  </w:num>
  <w:num w:numId="10" w16cid:durableId="667672">
    <w:abstractNumId w:val="13"/>
  </w:num>
  <w:num w:numId="11" w16cid:durableId="1581409423">
    <w:abstractNumId w:val="11"/>
  </w:num>
  <w:num w:numId="12" w16cid:durableId="1247036449">
    <w:abstractNumId w:val="0"/>
  </w:num>
  <w:num w:numId="13" w16cid:durableId="202713827">
    <w:abstractNumId w:val="5"/>
  </w:num>
  <w:num w:numId="14" w16cid:durableId="349533781">
    <w:abstractNumId w:val="6"/>
  </w:num>
  <w:num w:numId="15" w16cid:durableId="2083022973">
    <w:abstractNumId w:val="2"/>
  </w:num>
  <w:num w:numId="16" w16cid:durableId="1126969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39"/>
    <w:rsid w:val="000B1210"/>
    <w:rsid w:val="001428D3"/>
    <w:rsid w:val="00150D5F"/>
    <w:rsid w:val="00174D2C"/>
    <w:rsid w:val="001B4920"/>
    <w:rsid w:val="001C23DA"/>
    <w:rsid w:val="001C4D61"/>
    <w:rsid w:val="00224B35"/>
    <w:rsid w:val="002600B0"/>
    <w:rsid w:val="002E1433"/>
    <w:rsid w:val="003B7339"/>
    <w:rsid w:val="003D669C"/>
    <w:rsid w:val="003E690C"/>
    <w:rsid w:val="003F043E"/>
    <w:rsid w:val="003F2CB3"/>
    <w:rsid w:val="004B2B24"/>
    <w:rsid w:val="004F2DE6"/>
    <w:rsid w:val="005D24DA"/>
    <w:rsid w:val="0074771C"/>
    <w:rsid w:val="007E04E4"/>
    <w:rsid w:val="00803609"/>
    <w:rsid w:val="008C0939"/>
    <w:rsid w:val="008C66F8"/>
    <w:rsid w:val="008D4901"/>
    <w:rsid w:val="008E26E7"/>
    <w:rsid w:val="008E460F"/>
    <w:rsid w:val="009172F5"/>
    <w:rsid w:val="009B44F1"/>
    <w:rsid w:val="00A06627"/>
    <w:rsid w:val="00A53266"/>
    <w:rsid w:val="00A7415D"/>
    <w:rsid w:val="00B634D0"/>
    <w:rsid w:val="00BA6F3A"/>
    <w:rsid w:val="00C05D8F"/>
    <w:rsid w:val="00C66587"/>
    <w:rsid w:val="00C955AB"/>
    <w:rsid w:val="00CF2CA8"/>
    <w:rsid w:val="00D36216"/>
    <w:rsid w:val="00DB7CC5"/>
    <w:rsid w:val="00DD19DD"/>
    <w:rsid w:val="00DF0F9F"/>
    <w:rsid w:val="00E7396B"/>
    <w:rsid w:val="00E856AF"/>
    <w:rsid w:val="00E97A11"/>
    <w:rsid w:val="00EC163D"/>
    <w:rsid w:val="00EC4272"/>
    <w:rsid w:val="00EE630D"/>
    <w:rsid w:val="00F11484"/>
    <w:rsid w:val="00F3024D"/>
    <w:rsid w:val="00FE7C56"/>
    <w:rsid w:val="00FF0769"/>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E483"/>
  <w15:docId w15:val="{6E5B33CE-5713-42C8-AC91-6BCD29C7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PlaceholderText">
    <w:name w:val="Placeholder Text"/>
    <w:basedOn w:val="DefaultParagraphFont"/>
    <w:uiPriority w:val="99"/>
    <w:semiHidden/>
    <w:rsid w:val="009B44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Yostin Ting</cp:lastModifiedBy>
  <cp:revision>17</cp:revision>
  <cp:lastPrinted>2026-04-27T09:26:00Z</cp:lastPrinted>
  <dcterms:created xsi:type="dcterms:W3CDTF">2026-04-27T09:28:00Z</dcterms:created>
  <dcterms:modified xsi:type="dcterms:W3CDTF">2026-05-13T05:01:00Z</dcterms:modified>
</cp:coreProperties>
</file>